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D613E" w14:textId="28B4F6E0" w:rsidR="0095410F" w:rsidRPr="00AD6B2F" w:rsidRDefault="00CC2A43" w:rsidP="00CC2A43">
      <w:pPr>
        <w:pStyle w:val="NoSpacing"/>
        <w:spacing w:line="276" w:lineRule="auto"/>
        <w:jc w:val="both"/>
        <w:rPr>
          <w:rFonts w:asciiTheme="majorBidi" w:hAnsiTheme="majorBidi" w:cstheme="majorBidi"/>
          <w:b/>
          <w:bCs/>
          <w:i/>
          <w:iCs/>
          <w:sz w:val="40"/>
          <w:szCs w:val="40"/>
        </w:rPr>
      </w:pPr>
      <w:r w:rsidRPr="00CC2A43">
        <w:rPr>
          <w:rFonts w:asciiTheme="majorBidi" w:hAnsiTheme="majorBidi" w:cstheme="majorBidi"/>
          <w:b/>
          <w:bCs/>
          <w:sz w:val="40"/>
          <w:szCs w:val="40"/>
          <w:lang w:val="en-US"/>
        </w:rPr>
        <w:t>EMERGING TRENDS IN THE MANAGEMENT OF GESTATIONAL DIABETES MELLITUS REVIEW</w:t>
      </w:r>
    </w:p>
    <w:p w14:paraId="62B8548C" w14:textId="1FD4493F" w:rsidR="0095410F" w:rsidRPr="00BE4F7D" w:rsidRDefault="00CC2A43" w:rsidP="00CC2A43">
      <w:pPr>
        <w:pStyle w:val="NoSpacing"/>
        <w:spacing w:line="276" w:lineRule="auto"/>
        <w:jc w:val="both"/>
        <w:rPr>
          <w:rFonts w:asciiTheme="majorBidi" w:hAnsiTheme="majorBidi" w:cstheme="majorBidi"/>
          <w:i/>
          <w:iCs/>
          <w:sz w:val="16"/>
          <w:szCs w:val="16"/>
        </w:rPr>
      </w:pPr>
      <w:r w:rsidRPr="00CC2A43">
        <w:rPr>
          <w:rFonts w:asciiTheme="majorBidi" w:hAnsiTheme="majorBidi" w:cstheme="majorBidi"/>
          <w:b/>
          <w:bCs/>
          <w:i/>
          <w:iCs/>
          <w:sz w:val="16"/>
          <w:szCs w:val="16"/>
        </w:rPr>
        <w:t>Narrative Review</w:t>
      </w:r>
    </w:p>
    <w:p w14:paraId="51FF5AF4" w14:textId="77777777" w:rsidR="00582068" w:rsidRDefault="00582068" w:rsidP="008A7DE4">
      <w:pPr>
        <w:pStyle w:val="NoSpacing"/>
        <w:spacing w:line="276" w:lineRule="auto"/>
        <w:jc w:val="both"/>
        <w:rPr>
          <w:rFonts w:asciiTheme="majorBidi" w:hAnsiTheme="majorBidi" w:cstheme="majorBidi"/>
          <w:b/>
          <w:bCs/>
          <w:sz w:val="16"/>
          <w:szCs w:val="16"/>
        </w:rPr>
      </w:pPr>
    </w:p>
    <w:p w14:paraId="2D5BDA79" w14:textId="6EB52E98" w:rsidR="00AD0380" w:rsidRPr="006010AE" w:rsidRDefault="00CC2A43" w:rsidP="00CC2A43">
      <w:pPr>
        <w:pStyle w:val="NoSpacing"/>
        <w:spacing w:line="276" w:lineRule="auto"/>
        <w:jc w:val="both"/>
        <w:rPr>
          <w:rFonts w:asciiTheme="majorBidi" w:hAnsiTheme="majorBidi" w:cstheme="majorBidi"/>
          <w:b/>
          <w:bCs/>
          <w:sz w:val="16"/>
          <w:szCs w:val="16"/>
        </w:rPr>
      </w:pPr>
      <w:r w:rsidRPr="00CC2A43">
        <w:rPr>
          <w:rFonts w:asciiTheme="majorBidi" w:hAnsiTheme="majorBidi" w:cstheme="majorBidi"/>
          <w:b/>
          <w:bCs/>
          <w:sz w:val="16"/>
          <w:szCs w:val="16"/>
        </w:rPr>
        <w:t>Irfan Ishaque¹*, Zunaira Naveed², Tahir Hafeez³, Rimal Rashid⁴, Esha Ali⁵, Mahwish Ashraf⁶</w:t>
      </w:r>
    </w:p>
    <w:p w14:paraId="02C60D4C" w14:textId="77777777" w:rsidR="00CC2A43" w:rsidRPr="00CC2A43" w:rsidRDefault="00CC2A43" w:rsidP="00CC2A43">
      <w:pPr>
        <w:pStyle w:val="NoSpacing"/>
        <w:jc w:val="both"/>
        <w:rPr>
          <w:rFonts w:asciiTheme="majorBidi" w:hAnsiTheme="majorBidi" w:cstheme="majorBidi"/>
          <w:sz w:val="16"/>
          <w:szCs w:val="16"/>
          <w:lang w:val="en-US"/>
        </w:rPr>
      </w:pPr>
      <w:r w:rsidRPr="00CC2A43">
        <w:rPr>
          <w:rFonts w:asciiTheme="majorBidi" w:hAnsiTheme="majorBidi" w:cstheme="majorBidi"/>
          <w:sz w:val="16"/>
          <w:szCs w:val="16"/>
          <w:vertAlign w:val="superscript"/>
        </w:rPr>
        <w:t>1</w:t>
      </w:r>
      <w:r w:rsidRPr="00CC2A43">
        <w:rPr>
          <w:rFonts w:asciiTheme="majorBidi" w:hAnsiTheme="majorBidi" w:cstheme="majorBidi"/>
          <w:sz w:val="16"/>
          <w:szCs w:val="16"/>
          <w:lang w:val="en-US"/>
        </w:rPr>
        <w:t>Department of Zoology, Government College University, Lahore, Pakistan.</w:t>
      </w:r>
    </w:p>
    <w:p w14:paraId="02F8BF88" w14:textId="77777777" w:rsidR="00CC2A43" w:rsidRPr="00CC2A43" w:rsidRDefault="00CC2A43" w:rsidP="00CC2A43">
      <w:pPr>
        <w:pStyle w:val="NoSpacing"/>
        <w:jc w:val="both"/>
        <w:rPr>
          <w:rFonts w:asciiTheme="majorBidi" w:hAnsiTheme="majorBidi" w:cstheme="majorBidi"/>
          <w:sz w:val="16"/>
          <w:szCs w:val="16"/>
          <w:lang w:val="en-US"/>
        </w:rPr>
      </w:pPr>
      <w:r w:rsidRPr="00CC2A43">
        <w:rPr>
          <w:rFonts w:asciiTheme="majorBidi" w:hAnsiTheme="majorBidi" w:cstheme="majorBidi"/>
          <w:sz w:val="16"/>
          <w:szCs w:val="16"/>
          <w:lang w:val="en-US"/>
        </w:rPr>
        <w:t xml:space="preserve">²Woman Medical Officer, </w:t>
      </w:r>
      <w:proofErr w:type="spellStart"/>
      <w:r w:rsidRPr="00CC2A43">
        <w:rPr>
          <w:rFonts w:asciiTheme="majorBidi" w:hAnsiTheme="majorBidi" w:cstheme="majorBidi"/>
          <w:sz w:val="16"/>
          <w:szCs w:val="16"/>
          <w:lang w:val="en-US"/>
        </w:rPr>
        <w:t>Gynaecology</w:t>
      </w:r>
      <w:proofErr w:type="spellEnd"/>
      <w:r w:rsidRPr="00CC2A43">
        <w:rPr>
          <w:rFonts w:asciiTheme="majorBidi" w:hAnsiTheme="majorBidi" w:cstheme="majorBidi"/>
          <w:sz w:val="16"/>
          <w:szCs w:val="16"/>
          <w:lang w:val="en-US"/>
        </w:rPr>
        <w:t xml:space="preserve"> and Obstetrics Department, Gujranwala Medical College Teaching Hospital, Gujranwala, Pakistan.</w:t>
      </w:r>
    </w:p>
    <w:p w14:paraId="1BD86A40" w14:textId="77777777" w:rsidR="00CC2A43" w:rsidRPr="00CC2A43" w:rsidRDefault="00CC2A43" w:rsidP="00CC2A43">
      <w:pPr>
        <w:pStyle w:val="NoSpacing"/>
        <w:jc w:val="both"/>
        <w:rPr>
          <w:rFonts w:asciiTheme="majorBidi" w:hAnsiTheme="majorBidi" w:cstheme="majorBidi"/>
          <w:sz w:val="16"/>
          <w:szCs w:val="16"/>
          <w:lang w:val="en-US"/>
        </w:rPr>
      </w:pPr>
      <w:r w:rsidRPr="00CC2A43">
        <w:rPr>
          <w:rFonts w:asciiTheme="majorBidi" w:hAnsiTheme="majorBidi" w:cstheme="majorBidi"/>
          <w:sz w:val="16"/>
          <w:szCs w:val="16"/>
          <w:lang w:val="en-US"/>
        </w:rPr>
        <w:t>³CEO &amp; Founder, Tahir Holistic Healing &amp; Research Institute, Mandi Bahauddin, Pakistan.</w:t>
      </w:r>
    </w:p>
    <w:p w14:paraId="5870D94F" w14:textId="77777777" w:rsidR="00CC2A43" w:rsidRPr="00CC2A43" w:rsidRDefault="00CC2A43" w:rsidP="00CC2A43">
      <w:pPr>
        <w:pStyle w:val="NoSpacing"/>
        <w:jc w:val="both"/>
        <w:rPr>
          <w:rFonts w:asciiTheme="majorBidi" w:hAnsiTheme="majorBidi" w:cstheme="majorBidi"/>
          <w:sz w:val="16"/>
          <w:szCs w:val="16"/>
          <w:lang w:val="en-US"/>
        </w:rPr>
      </w:pPr>
      <w:r w:rsidRPr="00CC2A43">
        <w:rPr>
          <w:rFonts w:asciiTheme="majorBidi" w:hAnsiTheme="majorBidi" w:cstheme="majorBidi"/>
          <w:sz w:val="16"/>
          <w:szCs w:val="16"/>
          <w:lang w:val="en-US"/>
        </w:rPr>
        <w:t>⁴Dow University Hospital, Karachi, Pakistan.</w:t>
      </w:r>
    </w:p>
    <w:p w14:paraId="7C4D8982" w14:textId="77777777" w:rsidR="00CC2A43" w:rsidRPr="00CC2A43" w:rsidRDefault="00CC2A43" w:rsidP="00CC2A43">
      <w:pPr>
        <w:pStyle w:val="NoSpacing"/>
        <w:jc w:val="both"/>
        <w:rPr>
          <w:rFonts w:asciiTheme="majorBidi" w:hAnsiTheme="majorBidi" w:cstheme="majorBidi"/>
          <w:sz w:val="16"/>
          <w:szCs w:val="16"/>
          <w:lang w:val="en-US"/>
        </w:rPr>
      </w:pPr>
      <w:r w:rsidRPr="00CC2A43">
        <w:rPr>
          <w:rFonts w:asciiTheme="majorBidi" w:hAnsiTheme="majorBidi" w:cstheme="majorBidi"/>
          <w:sz w:val="16"/>
          <w:szCs w:val="16"/>
          <w:lang w:val="en-US"/>
        </w:rPr>
        <w:t>⁵Medical Student (4th Year), Riphah International University, Rawalpindi, Pakistan.</w:t>
      </w:r>
    </w:p>
    <w:p w14:paraId="7A2FDB1D" w14:textId="45A129F3" w:rsidR="00E747BD" w:rsidRDefault="00CC2A43" w:rsidP="00CC2A43">
      <w:pPr>
        <w:pStyle w:val="NoSpacing"/>
        <w:spacing w:line="276" w:lineRule="auto"/>
        <w:jc w:val="both"/>
        <w:rPr>
          <w:rFonts w:asciiTheme="majorBidi" w:hAnsiTheme="majorBidi" w:cstheme="majorBidi"/>
          <w:sz w:val="16"/>
          <w:szCs w:val="16"/>
        </w:rPr>
      </w:pPr>
      <w:r w:rsidRPr="00CC2A43">
        <w:rPr>
          <w:rFonts w:asciiTheme="majorBidi" w:hAnsiTheme="majorBidi" w:cstheme="majorBidi"/>
          <w:sz w:val="16"/>
          <w:szCs w:val="16"/>
          <w:lang w:val="en-US"/>
        </w:rPr>
        <w:t>⁶Wah Medical College, Wah Cantt, Pakistan.</w:t>
      </w:r>
    </w:p>
    <w:p w14:paraId="62FC0547" w14:textId="77777777" w:rsidR="00CC2A43" w:rsidRPr="0089659F" w:rsidRDefault="00CC2A43" w:rsidP="00CC2A43">
      <w:pPr>
        <w:pStyle w:val="NoSpacing"/>
        <w:spacing w:line="276" w:lineRule="auto"/>
        <w:jc w:val="both"/>
        <w:rPr>
          <w:rFonts w:asciiTheme="majorBidi" w:hAnsiTheme="majorBidi" w:cstheme="majorBidi"/>
          <w:sz w:val="16"/>
          <w:szCs w:val="16"/>
        </w:rPr>
      </w:pPr>
    </w:p>
    <w:p w14:paraId="4E41D5D5" w14:textId="20C68D46" w:rsidR="00BA5170" w:rsidRDefault="00BA5170" w:rsidP="00CC2A43">
      <w:pPr>
        <w:pStyle w:val="NoSpacing"/>
        <w:spacing w:line="276" w:lineRule="auto"/>
        <w:jc w:val="both"/>
        <w:rPr>
          <w:rFonts w:asciiTheme="majorBidi" w:hAnsiTheme="majorBidi" w:cstheme="majorBidi"/>
          <w:sz w:val="16"/>
          <w:szCs w:val="16"/>
        </w:rPr>
      </w:pPr>
      <w:r w:rsidRPr="00106E82">
        <w:rPr>
          <w:rFonts w:asciiTheme="majorBidi" w:hAnsiTheme="majorBidi" w:cstheme="majorBidi"/>
          <w:b/>
          <w:bCs/>
          <w:sz w:val="16"/>
          <w:szCs w:val="16"/>
        </w:rPr>
        <w:t>Corresponding Author:</w:t>
      </w:r>
      <w:r w:rsidRPr="00AD6B2F">
        <w:rPr>
          <w:rFonts w:asciiTheme="majorBidi" w:hAnsiTheme="majorBidi" w:cstheme="majorBidi"/>
          <w:sz w:val="16"/>
          <w:szCs w:val="16"/>
        </w:rPr>
        <w:t xml:space="preserve"> </w:t>
      </w:r>
      <w:r w:rsidR="00CC2A43" w:rsidRPr="00CC2A43">
        <w:rPr>
          <w:rFonts w:asciiTheme="majorBidi" w:hAnsiTheme="majorBidi" w:cstheme="majorBidi"/>
          <w:sz w:val="16"/>
          <w:szCs w:val="16"/>
          <w:lang w:val="en-US"/>
        </w:rPr>
        <w:t xml:space="preserve">Irfan Ishaque, Department of Zoology, Government College University, Lahore, Pakistan, </w:t>
      </w:r>
      <w:hyperlink r:id="rId7" w:history="1">
        <w:r w:rsidR="00CC2A43" w:rsidRPr="00CC2A43">
          <w:rPr>
            <w:rStyle w:val="Hyperlink"/>
            <w:rFonts w:asciiTheme="majorBidi" w:hAnsiTheme="majorBidi" w:cstheme="majorBidi"/>
            <w:sz w:val="16"/>
            <w:szCs w:val="16"/>
            <w:lang w:val="en-US"/>
          </w:rPr>
          <w:t>iamirfanishaque@gmail.com</w:t>
        </w:r>
      </w:hyperlink>
    </w:p>
    <w:p w14:paraId="359E72BC" w14:textId="4189D68A" w:rsidR="002E539A" w:rsidRDefault="002E539A" w:rsidP="00CC2A43">
      <w:pPr>
        <w:pStyle w:val="NoSpacing"/>
        <w:spacing w:line="276" w:lineRule="auto"/>
        <w:jc w:val="both"/>
        <w:rPr>
          <w:rFonts w:asciiTheme="majorBidi" w:hAnsiTheme="majorBidi" w:cstheme="majorBidi"/>
          <w:sz w:val="16"/>
          <w:szCs w:val="16"/>
        </w:rPr>
      </w:pPr>
      <w:r w:rsidRPr="002E539A">
        <w:rPr>
          <w:rFonts w:asciiTheme="majorBidi" w:hAnsiTheme="majorBidi" w:cstheme="majorBidi"/>
          <w:b/>
          <w:bCs/>
          <w:sz w:val="16"/>
          <w:szCs w:val="16"/>
        </w:rPr>
        <w:t>Acknowledgement:</w:t>
      </w:r>
      <w:r w:rsidRPr="002E539A">
        <w:rPr>
          <w:rFonts w:asciiTheme="majorBidi" w:hAnsiTheme="majorBidi" w:cstheme="majorBidi"/>
          <w:sz w:val="16"/>
          <w:szCs w:val="16"/>
        </w:rPr>
        <w:t xml:space="preserve"> </w:t>
      </w:r>
      <w:r w:rsidR="00CC2A43" w:rsidRPr="00CC2A43">
        <w:rPr>
          <w:rFonts w:asciiTheme="majorBidi" w:hAnsiTheme="majorBidi" w:cstheme="majorBidi"/>
          <w:sz w:val="16"/>
          <w:szCs w:val="16"/>
        </w:rPr>
        <w:t>The authors acknowledge the valuable contributions of all researchers and clinicians whose work on gestational diabetes mellitus has informed this review. No specific funding was received for this study.</w:t>
      </w:r>
    </w:p>
    <w:p w14:paraId="078CA55B" w14:textId="77777777" w:rsidR="00F83AD6" w:rsidRPr="002E539A" w:rsidRDefault="00F83AD6" w:rsidP="008A7DE4">
      <w:pPr>
        <w:pStyle w:val="NoSpacing"/>
        <w:spacing w:line="276" w:lineRule="auto"/>
        <w:jc w:val="both"/>
        <w:rPr>
          <w:rFonts w:asciiTheme="majorBidi" w:hAnsiTheme="majorBidi" w:cstheme="majorBidi"/>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54708" w:rsidRPr="00AD6B2F" w14:paraId="04A239FB" w14:textId="77777777" w:rsidTr="004E15BA">
        <w:tc>
          <w:tcPr>
            <w:tcW w:w="5395" w:type="dxa"/>
            <w:shd w:val="clear" w:color="auto" w:fill="C1E4F5" w:themeFill="accent1" w:themeFillTint="33"/>
          </w:tcPr>
          <w:p w14:paraId="3D43C119" w14:textId="47E0E7F5" w:rsidR="00D54708" w:rsidRPr="00AD6B2F" w:rsidRDefault="00D54708" w:rsidP="008A7DE4">
            <w:pPr>
              <w:pStyle w:val="NoSpacing"/>
              <w:spacing w:line="276" w:lineRule="auto"/>
              <w:jc w:val="both"/>
              <w:rPr>
                <w:rFonts w:asciiTheme="majorBidi" w:hAnsiTheme="majorBidi" w:cstheme="majorBidi"/>
                <w:sz w:val="16"/>
                <w:szCs w:val="16"/>
              </w:rPr>
            </w:pPr>
            <w:r w:rsidRPr="00AD6B2F">
              <w:rPr>
                <w:rFonts w:asciiTheme="majorBidi" w:hAnsiTheme="majorBidi" w:cstheme="majorBidi"/>
                <w:sz w:val="16"/>
                <w:szCs w:val="16"/>
              </w:rPr>
              <w:t>Conflict of Interest: None</w:t>
            </w:r>
          </w:p>
        </w:tc>
        <w:tc>
          <w:tcPr>
            <w:tcW w:w="5395" w:type="dxa"/>
            <w:shd w:val="clear" w:color="auto" w:fill="C1E4F5" w:themeFill="accent1" w:themeFillTint="33"/>
          </w:tcPr>
          <w:p w14:paraId="6B53B060" w14:textId="132565FE" w:rsidR="00D54708" w:rsidRPr="00AD6B2F" w:rsidRDefault="00D54708" w:rsidP="008A7DE4">
            <w:pPr>
              <w:pStyle w:val="NoSpacing"/>
              <w:spacing w:line="276" w:lineRule="auto"/>
              <w:jc w:val="both"/>
              <w:rPr>
                <w:rFonts w:asciiTheme="majorBidi" w:hAnsiTheme="majorBidi" w:cstheme="majorBidi"/>
                <w:sz w:val="16"/>
                <w:szCs w:val="16"/>
              </w:rPr>
            </w:pPr>
            <w:r w:rsidRPr="00AD6B2F">
              <w:rPr>
                <w:rFonts w:asciiTheme="majorBidi" w:hAnsiTheme="majorBidi" w:cstheme="majorBidi"/>
                <w:sz w:val="16"/>
                <w:szCs w:val="16"/>
              </w:rPr>
              <w:t>Grant Support &amp; Financial Support: None</w:t>
            </w:r>
          </w:p>
        </w:tc>
      </w:tr>
    </w:tbl>
    <w:p w14:paraId="4E22AD47" w14:textId="5C8C70FA" w:rsidR="00E747BD" w:rsidRPr="00AD6B2F" w:rsidRDefault="004E2E84" w:rsidP="008A7DE4">
      <w:pPr>
        <w:pStyle w:val="NoSpacing"/>
        <w:spacing w:line="276" w:lineRule="auto"/>
        <w:jc w:val="both"/>
        <w:rPr>
          <w:rFonts w:asciiTheme="majorBidi" w:hAnsiTheme="majorBidi" w:cstheme="majorBidi"/>
          <w:sz w:val="16"/>
          <w:szCs w:val="16"/>
        </w:rPr>
      </w:pPr>
      <w:r w:rsidRPr="00AD6B2F">
        <w:rPr>
          <w:rFonts w:asciiTheme="majorBidi" w:hAnsiTheme="majorBidi" w:cstheme="majorBidi"/>
          <w:noProof/>
          <w:sz w:val="16"/>
          <w:szCs w:val="16"/>
        </w:rPr>
        <mc:AlternateContent>
          <mc:Choice Requires="wps">
            <w:drawing>
              <wp:anchor distT="0" distB="0" distL="114300" distR="114300" simplePos="0" relativeHeight="251659264" behindDoc="0" locked="0" layoutInCell="1" allowOverlap="1" wp14:anchorId="12D71531" wp14:editId="1CDE662F">
                <wp:simplePos x="0" y="0"/>
                <wp:positionH relativeFrom="margin">
                  <wp:align>right</wp:align>
                </wp:positionH>
                <wp:positionV relativeFrom="paragraph">
                  <wp:posOffset>57150</wp:posOffset>
                </wp:positionV>
                <wp:extent cx="6835987" cy="4049486"/>
                <wp:effectExtent l="0" t="0" r="22225" b="27305"/>
                <wp:wrapNone/>
                <wp:docPr id="838340314" name="Rectangle: Single Corner Rounded 1"/>
                <wp:cNvGraphicFramePr/>
                <a:graphic xmlns:a="http://schemas.openxmlformats.org/drawingml/2006/main">
                  <a:graphicData uri="http://schemas.microsoft.com/office/word/2010/wordprocessingShape">
                    <wps:wsp>
                      <wps:cNvSpPr/>
                      <wps:spPr>
                        <a:xfrm>
                          <a:off x="0" y="0"/>
                          <a:ext cx="6835987" cy="4049486"/>
                        </a:xfrm>
                        <a:prstGeom prst="round1Rect">
                          <a:avLst/>
                        </a:prstGeom>
                      </wps:spPr>
                      <wps:style>
                        <a:lnRef idx="1">
                          <a:schemeClr val="dk1"/>
                        </a:lnRef>
                        <a:fillRef idx="1003">
                          <a:schemeClr val="lt2"/>
                        </a:fillRef>
                        <a:effectRef idx="1">
                          <a:schemeClr val="dk1"/>
                        </a:effectRef>
                        <a:fontRef idx="minor">
                          <a:schemeClr val="dk1"/>
                        </a:fontRef>
                      </wps:style>
                      <wps:txbx>
                        <w:txbxContent>
                          <w:p w14:paraId="4E08D62F" w14:textId="08937DFC" w:rsidR="00A8460E" w:rsidRDefault="00A8460E" w:rsidP="00F55205">
                            <w:pPr>
                              <w:pStyle w:val="Heading1"/>
                            </w:pPr>
                            <w:r w:rsidRPr="0037429F">
                              <w:t>Abstract</w:t>
                            </w:r>
                          </w:p>
                          <w:p w14:paraId="0684C4EA" w14:textId="77777777" w:rsidR="00CC2A43" w:rsidRPr="00CC2A43" w:rsidRDefault="00431E60" w:rsidP="00CC2A43">
                            <w:pPr>
                              <w:jc w:val="both"/>
                              <w:rPr>
                                <w:rFonts w:asciiTheme="majorBidi" w:hAnsiTheme="majorBidi" w:cstheme="majorBidi"/>
                                <w:sz w:val="20"/>
                                <w:szCs w:val="20"/>
                              </w:rPr>
                            </w:pPr>
                            <w:r>
                              <w:rPr>
                                <w:rFonts w:ascii="Times New Roman" w:hAnsi="Times New Roman" w:cs="Times New Roman"/>
                                <w:b/>
                                <w:bCs/>
                                <w:sz w:val="20"/>
                                <w:szCs w:val="20"/>
                              </w:rPr>
                              <w:t>Background</w:t>
                            </w:r>
                            <w:r w:rsidR="00A8460E" w:rsidRPr="0037429F">
                              <w:rPr>
                                <w:rFonts w:ascii="Times New Roman" w:hAnsi="Times New Roman" w:cs="Times New Roman"/>
                                <w:b/>
                                <w:bCs/>
                                <w:sz w:val="20"/>
                                <w:szCs w:val="20"/>
                              </w:rPr>
                              <w:t>:</w:t>
                            </w:r>
                            <w:r w:rsidR="00A8460E" w:rsidRPr="00CC2A43">
                              <w:rPr>
                                <w:rFonts w:asciiTheme="majorBidi" w:hAnsiTheme="majorBidi" w:cstheme="majorBidi"/>
                                <w:sz w:val="20"/>
                                <w:szCs w:val="20"/>
                              </w:rPr>
                              <w:t xml:space="preserve"> </w:t>
                            </w:r>
                            <w:r w:rsidR="00CC2A43" w:rsidRPr="00CC2A43">
                              <w:rPr>
                                <w:rFonts w:asciiTheme="majorBidi" w:hAnsiTheme="majorBidi" w:cstheme="majorBidi"/>
                                <w:sz w:val="20"/>
                                <w:szCs w:val="20"/>
                              </w:rPr>
                              <w:t>Gestational diabetes mellitus (GDM) represents one of the most frequent metabolic complications during pregnancy, bringing substantial short- and long-term hazards for both the mother and the infant. Increasing maternal age, rising obesity rates, and sedentary habits have driven its expanding worldwide prevalence. Prompt and effective GDM care is essential for enhancing perinatal results and averting future metabolic illnesses.</w:t>
                            </w:r>
                          </w:p>
                          <w:p w14:paraId="2E82F2CA"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Objective:</w:t>
                            </w:r>
                            <w:r w:rsidRPr="00CC2A43">
                              <w:rPr>
                                <w:rFonts w:ascii="Times New Roman" w:hAnsi="Times New Roman" w:cs="Times New Roman"/>
                                <w:sz w:val="20"/>
                                <w:szCs w:val="20"/>
                                <w:lang w:val="en-US"/>
                              </w:rPr>
                              <w:t xml:space="preserve"> This narrative review intends to investigate current developments in GDM management, covering progress in screening protocols, nutritional and pharmaceutical therapies, and the incorporation of digital resources into clinical workflows.</w:t>
                            </w:r>
                          </w:p>
                          <w:p w14:paraId="70A9088B"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Main Discussion Points:</w:t>
                            </w:r>
                            <w:r w:rsidRPr="00CC2A43">
                              <w:rPr>
                                <w:rFonts w:ascii="Times New Roman" w:hAnsi="Times New Roman" w:cs="Times New Roman"/>
                                <w:sz w:val="20"/>
                                <w:szCs w:val="20"/>
                                <w:lang w:val="en-US"/>
                              </w:rPr>
                              <w:t xml:space="preserve"> Contemporary literature highlights a transition toward personalized care strategies, uniting tailored exercise and dietary therapy as foundational treatment. Medical choices have grown to encompass insulin analogs and oral hypoglycemic drugs like metformin, though long-term safety records continue to be scarce. Innovations in digital health—specifically continuous glucose monitoring systems—provide improved patient participation and glucose tracking. Nevertheless, discrepancies in diagnostic thresholds, outcome metrics, and follow-up routines restrict the comparability of trials. Furthermore, the generalizability of conclusions is limited by participant homogeneity and an underrepresentation of low-resource environments.</w:t>
                            </w:r>
                          </w:p>
                          <w:p w14:paraId="1FB9C28C"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Conclusion:</w:t>
                            </w:r>
                            <w:r w:rsidRPr="00CC2A43">
                              <w:rPr>
                                <w:rFonts w:ascii="Times New Roman" w:hAnsi="Times New Roman" w:cs="Times New Roman"/>
                                <w:sz w:val="20"/>
                                <w:szCs w:val="20"/>
                                <w:lang w:val="en-US"/>
                              </w:rPr>
                              <w:t xml:space="preserve"> Emerging approaches are transforming GDM treatment toward more technology-integrated, personalized frameworks. While evidence backs the efficacy of multiple novel interventions, existing literature displays notable methodological flaws. Upcoming investigations should focus on large-scale, multiethnic, and longitudinal studies to shape standardized clinical guidelines and ensure equitable care delivery.</w:t>
                            </w:r>
                          </w:p>
                          <w:p w14:paraId="346926B0"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Keywords:</w:t>
                            </w:r>
                            <w:r w:rsidRPr="00CC2A43">
                              <w:rPr>
                                <w:rFonts w:ascii="Times New Roman" w:hAnsi="Times New Roman" w:cs="Times New Roman"/>
                                <w:sz w:val="20"/>
                                <w:szCs w:val="20"/>
                                <w:lang w:val="en-US"/>
                              </w:rPr>
                              <w:t xml:space="preserve"> Gestational Diabetes Mellitus, Pharmacologic Therapy, Nutritional Management, Digital Health, Pregnancy, Narrative Review.</w:t>
                            </w:r>
                          </w:p>
                          <w:p w14:paraId="44A98B3C" w14:textId="40FDFFC2" w:rsidR="00A8460E" w:rsidRPr="00EE3BF8" w:rsidRDefault="00A8460E" w:rsidP="00CC2A43">
                            <w:pPr>
                              <w:spacing w:line="240" w:lineRule="auto"/>
                              <w:jc w:val="both"/>
                              <w:rPr>
                                <w:rFonts w:ascii="Times New Roman" w:hAnsi="Times New Roman" w:cs="Times New Roman"/>
                                <w:sz w:val="20"/>
                                <w:szCs w:val="20"/>
                              </w:rPr>
                            </w:pPr>
                          </w:p>
                          <w:p w14:paraId="07916AF7" w14:textId="77777777" w:rsidR="004E2E84" w:rsidRDefault="004E2E84" w:rsidP="004E2E84">
                            <w:pPr>
                              <w:jc w:val="both"/>
                              <w:rPr>
                                <w:rFonts w:ascii="Times New Roman" w:hAnsi="Times New Roman" w:cs="Times New Roman"/>
                                <w:sz w:val="20"/>
                                <w:szCs w:val="20"/>
                              </w:rPr>
                            </w:pPr>
                          </w:p>
                          <w:p w14:paraId="409F8DB6" w14:textId="77777777" w:rsidR="004E2E84" w:rsidRDefault="004E2E84" w:rsidP="004E2E84">
                            <w:pPr>
                              <w:jc w:val="both"/>
                              <w:rPr>
                                <w:rFonts w:ascii="Times New Roman" w:hAnsi="Times New Roman" w:cs="Times New Roman"/>
                                <w:sz w:val="20"/>
                                <w:szCs w:val="20"/>
                              </w:rPr>
                            </w:pPr>
                          </w:p>
                          <w:p w14:paraId="25E36187" w14:textId="77777777" w:rsidR="004E2E84" w:rsidRDefault="004E2E84" w:rsidP="004E2E84">
                            <w:pPr>
                              <w:jc w:val="both"/>
                              <w:rPr>
                                <w:rFonts w:ascii="Times New Roman" w:hAnsi="Times New Roman" w:cs="Times New Roman"/>
                                <w:sz w:val="20"/>
                                <w:szCs w:val="20"/>
                              </w:rPr>
                            </w:pPr>
                          </w:p>
                          <w:p w14:paraId="5821CCE2" w14:textId="77777777" w:rsidR="004E2E84" w:rsidRDefault="004E2E84" w:rsidP="004E2E84">
                            <w:pPr>
                              <w:jc w:val="both"/>
                              <w:rPr>
                                <w:rFonts w:ascii="Times New Roman" w:hAnsi="Times New Roman" w:cs="Times New Roman"/>
                                <w:sz w:val="20"/>
                                <w:szCs w:val="20"/>
                              </w:rPr>
                            </w:pPr>
                          </w:p>
                          <w:p w14:paraId="442DD996" w14:textId="77777777" w:rsidR="004E2E84" w:rsidRDefault="004E2E84" w:rsidP="004E2E84">
                            <w:pPr>
                              <w:jc w:val="both"/>
                              <w:rPr>
                                <w:rFonts w:ascii="Times New Roman" w:hAnsi="Times New Roman" w:cs="Times New Roman"/>
                                <w:sz w:val="20"/>
                                <w:szCs w:val="20"/>
                              </w:rPr>
                            </w:pPr>
                          </w:p>
                          <w:p w14:paraId="7C598208" w14:textId="77777777" w:rsidR="004E2E84" w:rsidRDefault="004E2E84" w:rsidP="004E2E84">
                            <w:pPr>
                              <w:jc w:val="both"/>
                              <w:rPr>
                                <w:rFonts w:ascii="Times New Roman" w:hAnsi="Times New Roman" w:cs="Times New Roman"/>
                                <w:sz w:val="20"/>
                                <w:szCs w:val="20"/>
                              </w:rPr>
                            </w:pPr>
                          </w:p>
                          <w:p w14:paraId="40295BA0" w14:textId="77777777" w:rsidR="004E2E84" w:rsidRDefault="004E2E84" w:rsidP="004E2E84">
                            <w:pPr>
                              <w:jc w:val="both"/>
                              <w:rPr>
                                <w:rFonts w:ascii="Times New Roman" w:hAnsi="Times New Roman" w:cs="Times New Roman"/>
                                <w:sz w:val="20"/>
                                <w:szCs w:val="20"/>
                              </w:rPr>
                            </w:pPr>
                          </w:p>
                          <w:p w14:paraId="3D18C911" w14:textId="77777777" w:rsidR="004E2E84" w:rsidRDefault="004E2E84" w:rsidP="004E2E84">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71531" id="Rectangle: Single Corner Rounded 1" o:spid="_x0000_s1026" style="position:absolute;left:0;text-align:left;margin-left:487.05pt;margin-top:4.5pt;width:538.25pt;height:318.8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6835987,40494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" adj="-11796480,,5400" path="m,l6161059,v372752,,674928,302176,674928,674928l6835987,4049486,,4049486,,xe" fillcolor="#e9e9e9 [2995]" strokecolor="black [3200]" strokeweight=".5pt">
                <v:fill color2="#919191 [2019]" rotate="t" colors="0 #ececec;.5 #e5e5e5;1 #bdbdbd" focus="100%" type="gradient">
                  <o:fill v:ext="view" type="gradientUnscaled"/>
                </v:fill>
                <v:stroke joinstyle="miter"/>
                <v:formulas/>
                <v:path arrowok="t" o:connecttype="custom" o:connectlocs="0,0;6161059,0;6835987,674928;6835987,4049486;0,4049486;0,0" o:connectangles="0,0,0,0,0,0" textboxrect="0,0,6835987,4049486"/>
                <v:textbox>
                  <w:txbxContent>
                    <w:p w14:paraId="4E08D62F" w14:textId="08937DFC" w:rsidR="00A8460E" w:rsidRDefault="00A8460E" w:rsidP="00F55205">
                      <w:pPr>
                        <w:pStyle w:val="Heading1"/>
                      </w:pPr>
                      <w:r w:rsidRPr="0037429F">
                        <w:t>Abstract</w:t>
                      </w:r>
                    </w:p>
                    <w:p w14:paraId="0684C4EA" w14:textId="77777777" w:rsidR="00CC2A43" w:rsidRPr="00CC2A43" w:rsidRDefault="00431E60" w:rsidP="00CC2A43">
                      <w:pPr>
                        <w:jc w:val="both"/>
                        <w:rPr>
                          <w:rFonts w:asciiTheme="majorBidi" w:hAnsiTheme="majorBidi" w:cstheme="majorBidi"/>
                          <w:sz w:val="20"/>
                          <w:szCs w:val="20"/>
                        </w:rPr>
                      </w:pPr>
                      <w:r>
                        <w:rPr>
                          <w:rFonts w:ascii="Times New Roman" w:hAnsi="Times New Roman" w:cs="Times New Roman"/>
                          <w:b/>
                          <w:bCs/>
                          <w:sz w:val="20"/>
                          <w:szCs w:val="20"/>
                        </w:rPr>
                        <w:t>Background</w:t>
                      </w:r>
                      <w:r w:rsidR="00A8460E" w:rsidRPr="0037429F">
                        <w:rPr>
                          <w:rFonts w:ascii="Times New Roman" w:hAnsi="Times New Roman" w:cs="Times New Roman"/>
                          <w:b/>
                          <w:bCs/>
                          <w:sz w:val="20"/>
                          <w:szCs w:val="20"/>
                        </w:rPr>
                        <w:t>:</w:t>
                      </w:r>
                      <w:r w:rsidR="00A8460E" w:rsidRPr="00CC2A43">
                        <w:rPr>
                          <w:rFonts w:asciiTheme="majorBidi" w:hAnsiTheme="majorBidi" w:cstheme="majorBidi"/>
                          <w:sz w:val="20"/>
                          <w:szCs w:val="20"/>
                        </w:rPr>
                        <w:t xml:space="preserve"> </w:t>
                      </w:r>
                      <w:r w:rsidR="00CC2A43" w:rsidRPr="00CC2A43">
                        <w:rPr>
                          <w:rFonts w:asciiTheme="majorBidi" w:hAnsiTheme="majorBidi" w:cstheme="majorBidi"/>
                          <w:sz w:val="20"/>
                          <w:szCs w:val="20"/>
                        </w:rPr>
                        <w:t>Gestational diabetes mellitus (GDM) represents one of the most frequent metabolic complications during pregnancy, bringing substantial short- and long-term hazards for both the mother and the infant. Increasing maternal age, rising obesity rates, and sedentary habits have driven its expanding worldwide prevalence. Prompt and effective GDM care is essential for enhancing perinatal results and averting future metabolic illnesses.</w:t>
                      </w:r>
                    </w:p>
                    <w:p w14:paraId="2E82F2CA"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Objective:</w:t>
                      </w:r>
                      <w:r w:rsidRPr="00CC2A43">
                        <w:rPr>
                          <w:rFonts w:ascii="Times New Roman" w:hAnsi="Times New Roman" w:cs="Times New Roman"/>
                          <w:sz w:val="20"/>
                          <w:szCs w:val="20"/>
                          <w:lang w:val="en-US"/>
                        </w:rPr>
                        <w:t xml:space="preserve"> This narrative review intends to investigate current developments in GDM management, covering progress in screening protocols, nutritional and pharmaceutical therapies, and the incorporation of digital resources into clinical workflows.</w:t>
                      </w:r>
                    </w:p>
                    <w:p w14:paraId="70A9088B"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Main Discussion Points:</w:t>
                      </w:r>
                      <w:r w:rsidRPr="00CC2A43">
                        <w:rPr>
                          <w:rFonts w:ascii="Times New Roman" w:hAnsi="Times New Roman" w:cs="Times New Roman"/>
                          <w:sz w:val="20"/>
                          <w:szCs w:val="20"/>
                          <w:lang w:val="en-US"/>
                        </w:rPr>
                        <w:t xml:space="preserve"> Contemporary literature highlights a transition toward personalized care strategies, uniting tailored exercise and dietary therapy as foundational treatment. Medical choices have grown to encompass insulin analogs and oral hypoglycemic drugs like metformin, though long-term safety records continue to be scarce. Innovations in digital health—specifically continuous glucose monitoring systems—provide improved patient participation and glucose tracking. Nevertheless, discrepancies in diagnostic thresholds, outcome metrics, and follow-up routines restrict the comparability of trials. Furthermore, the generalizability of conclusions is limited by participant homogeneity and an underrepresentation of low-resource environments.</w:t>
                      </w:r>
                    </w:p>
                    <w:p w14:paraId="1FB9C28C"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Conclusion:</w:t>
                      </w:r>
                      <w:r w:rsidRPr="00CC2A43">
                        <w:rPr>
                          <w:rFonts w:ascii="Times New Roman" w:hAnsi="Times New Roman" w:cs="Times New Roman"/>
                          <w:sz w:val="20"/>
                          <w:szCs w:val="20"/>
                          <w:lang w:val="en-US"/>
                        </w:rPr>
                        <w:t xml:space="preserve"> Emerging approaches are transforming GDM treatment toward more technology-integrated, personalized frameworks. While evidence backs the efficacy of multiple novel interventions, existing literature displays notable methodological flaws. Upcoming investigations should focus on large-scale, multiethnic, and longitudinal studies to shape standardized clinical guidelines and ensure equitable care delivery.</w:t>
                      </w:r>
                    </w:p>
                    <w:p w14:paraId="346926B0" w14:textId="77777777" w:rsidR="00CC2A43" w:rsidRPr="00CC2A43" w:rsidRDefault="00CC2A43" w:rsidP="00CC2A43">
                      <w:pPr>
                        <w:spacing w:line="240" w:lineRule="auto"/>
                        <w:jc w:val="both"/>
                        <w:rPr>
                          <w:rFonts w:ascii="Times New Roman" w:hAnsi="Times New Roman" w:cs="Times New Roman"/>
                          <w:sz w:val="20"/>
                          <w:szCs w:val="20"/>
                          <w:lang w:val="en-US"/>
                        </w:rPr>
                      </w:pPr>
                      <w:r w:rsidRPr="00CC2A43">
                        <w:rPr>
                          <w:rFonts w:ascii="Times New Roman" w:hAnsi="Times New Roman" w:cs="Times New Roman"/>
                          <w:b/>
                          <w:bCs/>
                          <w:sz w:val="20"/>
                          <w:szCs w:val="20"/>
                          <w:lang w:val="en-US"/>
                        </w:rPr>
                        <w:t>Keywords:</w:t>
                      </w:r>
                      <w:r w:rsidRPr="00CC2A43">
                        <w:rPr>
                          <w:rFonts w:ascii="Times New Roman" w:hAnsi="Times New Roman" w:cs="Times New Roman"/>
                          <w:sz w:val="20"/>
                          <w:szCs w:val="20"/>
                          <w:lang w:val="en-US"/>
                        </w:rPr>
                        <w:t xml:space="preserve"> Gestational Diabetes Mellitus, Pharmacologic Therapy, Nutritional Management, Digital Health, Pregnancy, Narrative Review.</w:t>
                      </w:r>
                    </w:p>
                    <w:p w14:paraId="44A98B3C" w14:textId="40FDFFC2" w:rsidR="00A8460E" w:rsidRPr="00EE3BF8" w:rsidRDefault="00A8460E" w:rsidP="00CC2A43">
                      <w:pPr>
                        <w:spacing w:line="240" w:lineRule="auto"/>
                        <w:jc w:val="both"/>
                        <w:rPr>
                          <w:rFonts w:ascii="Times New Roman" w:hAnsi="Times New Roman" w:cs="Times New Roman"/>
                          <w:sz w:val="20"/>
                          <w:szCs w:val="20"/>
                        </w:rPr>
                      </w:pPr>
                    </w:p>
                    <w:p w14:paraId="07916AF7" w14:textId="77777777" w:rsidR="004E2E84" w:rsidRDefault="004E2E84" w:rsidP="004E2E84">
                      <w:pPr>
                        <w:jc w:val="both"/>
                        <w:rPr>
                          <w:rFonts w:ascii="Times New Roman" w:hAnsi="Times New Roman" w:cs="Times New Roman"/>
                          <w:sz w:val="20"/>
                          <w:szCs w:val="20"/>
                        </w:rPr>
                      </w:pPr>
                    </w:p>
                    <w:p w14:paraId="409F8DB6" w14:textId="77777777" w:rsidR="004E2E84" w:rsidRDefault="004E2E84" w:rsidP="004E2E84">
                      <w:pPr>
                        <w:jc w:val="both"/>
                        <w:rPr>
                          <w:rFonts w:ascii="Times New Roman" w:hAnsi="Times New Roman" w:cs="Times New Roman"/>
                          <w:sz w:val="20"/>
                          <w:szCs w:val="20"/>
                        </w:rPr>
                      </w:pPr>
                    </w:p>
                    <w:p w14:paraId="25E36187" w14:textId="77777777" w:rsidR="004E2E84" w:rsidRDefault="004E2E84" w:rsidP="004E2E84">
                      <w:pPr>
                        <w:jc w:val="both"/>
                        <w:rPr>
                          <w:rFonts w:ascii="Times New Roman" w:hAnsi="Times New Roman" w:cs="Times New Roman"/>
                          <w:sz w:val="20"/>
                          <w:szCs w:val="20"/>
                        </w:rPr>
                      </w:pPr>
                    </w:p>
                    <w:p w14:paraId="5821CCE2" w14:textId="77777777" w:rsidR="004E2E84" w:rsidRDefault="004E2E84" w:rsidP="004E2E84">
                      <w:pPr>
                        <w:jc w:val="both"/>
                        <w:rPr>
                          <w:rFonts w:ascii="Times New Roman" w:hAnsi="Times New Roman" w:cs="Times New Roman"/>
                          <w:sz w:val="20"/>
                          <w:szCs w:val="20"/>
                        </w:rPr>
                      </w:pPr>
                    </w:p>
                    <w:p w14:paraId="442DD996" w14:textId="77777777" w:rsidR="004E2E84" w:rsidRDefault="004E2E84" w:rsidP="004E2E84">
                      <w:pPr>
                        <w:jc w:val="both"/>
                        <w:rPr>
                          <w:rFonts w:ascii="Times New Roman" w:hAnsi="Times New Roman" w:cs="Times New Roman"/>
                          <w:sz w:val="20"/>
                          <w:szCs w:val="20"/>
                        </w:rPr>
                      </w:pPr>
                    </w:p>
                    <w:p w14:paraId="7C598208" w14:textId="77777777" w:rsidR="004E2E84" w:rsidRDefault="004E2E84" w:rsidP="004E2E84">
                      <w:pPr>
                        <w:jc w:val="both"/>
                        <w:rPr>
                          <w:rFonts w:ascii="Times New Roman" w:hAnsi="Times New Roman" w:cs="Times New Roman"/>
                          <w:sz w:val="20"/>
                          <w:szCs w:val="20"/>
                        </w:rPr>
                      </w:pPr>
                    </w:p>
                    <w:p w14:paraId="40295BA0" w14:textId="77777777" w:rsidR="004E2E84" w:rsidRDefault="004E2E84" w:rsidP="004E2E84">
                      <w:pPr>
                        <w:jc w:val="both"/>
                        <w:rPr>
                          <w:rFonts w:ascii="Times New Roman" w:hAnsi="Times New Roman" w:cs="Times New Roman"/>
                          <w:sz w:val="20"/>
                          <w:szCs w:val="20"/>
                        </w:rPr>
                      </w:pPr>
                    </w:p>
                    <w:p w14:paraId="3D18C911" w14:textId="77777777" w:rsidR="004E2E84" w:rsidRDefault="004E2E84" w:rsidP="004E2E84">
                      <w:pPr>
                        <w:jc w:val="both"/>
                      </w:pPr>
                    </w:p>
                  </w:txbxContent>
                </v:textbox>
                <w10:wrap anchorx="margin"/>
              </v:shape>
            </w:pict>
          </mc:Fallback>
        </mc:AlternateContent>
      </w:r>
    </w:p>
    <w:p w14:paraId="6115DEF5" w14:textId="77777777" w:rsidR="004E2E84" w:rsidRPr="00AD6B2F" w:rsidRDefault="004E2E84" w:rsidP="008A7DE4">
      <w:pPr>
        <w:pStyle w:val="NoSpacing"/>
        <w:spacing w:line="276" w:lineRule="auto"/>
        <w:jc w:val="both"/>
        <w:rPr>
          <w:rFonts w:asciiTheme="majorBidi" w:hAnsiTheme="majorBidi" w:cstheme="majorBidi"/>
          <w:sz w:val="16"/>
          <w:szCs w:val="16"/>
        </w:rPr>
      </w:pPr>
    </w:p>
    <w:p w14:paraId="1D9B002D" w14:textId="77777777" w:rsidR="004E2E84" w:rsidRPr="00AD6B2F" w:rsidRDefault="004E2E84" w:rsidP="008A7DE4">
      <w:pPr>
        <w:pStyle w:val="NoSpacing"/>
        <w:spacing w:line="276" w:lineRule="auto"/>
        <w:jc w:val="both"/>
        <w:rPr>
          <w:rFonts w:asciiTheme="majorBidi" w:hAnsiTheme="majorBidi" w:cstheme="majorBidi"/>
          <w:sz w:val="16"/>
          <w:szCs w:val="16"/>
        </w:rPr>
      </w:pPr>
    </w:p>
    <w:p w14:paraId="4B331449" w14:textId="77777777" w:rsidR="004E2E84" w:rsidRPr="00AD6B2F" w:rsidRDefault="004E2E84" w:rsidP="008A7DE4">
      <w:pPr>
        <w:pStyle w:val="NoSpacing"/>
        <w:spacing w:line="276" w:lineRule="auto"/>
        <w:jc w:val="both"/>
        <w:rPr>
          <w:rFonts w:asciiTheme="majorBidi" w:hAnsiTheme="majorBidi" w:cstheme="majorBidi"/>
          <w:sz w:val="16"/>
          <w:szCs w:val="16"/>
        </w:rPr>
      </w:pPr>
    </w:p>
    <w:p w14:paraId="26BC5B0E" w14:textId="77777777" w:rsidR="004E2E84" w:rsidRPr="00AD6B2F" w:rsidRDefault="004E2E84" w:rsidP="008A7DE4">
      <w:pPr>
        <w:pStyle w:val="NoSpacing"/>
        <w:spacing w:line="276" w:lineRule="auto"/>
        <w:jc w:val="both"/>
        <w:rPr>
          <w:rFonts w:asciiTheme="majorBidi" w:hAnsiTheme="majorBidi" w:cstheme="majorBidi"/>
          <w:sz w:val="16"/>
          <w:szCs w:val="16"/>
        </w:rPr>
      </w:pPr>
    </w:p>
    <w:p w14:paraId="015B4F4A" w14:textId="77777777" w:rsidR="004E2E84" w:rsidRPr="00AD6B2F" w:rsidRDefault="004E2E84" w:rsidP="008A7DE4">
      <w:pPr>
        <w:pStyle w:val="NoSpacing"/>
        <w:spacing w:line="276" w:lineRule="auto"/>
        <w:jc w:val="both"/>
        <w:rPr>
          <w:rFonts w:asciiTheme="majorBidi" w:hAnsiTheme="majorBidi" w:cstheme="majorBidi"/>
          <w:sz w:val="16"/>
          <w:szCs w:val="16"/>
        </w:rPr>
      </w:pPr>
    </w:p>
    <w:p w14:paraId="66392E99" w14:textId="77777777" w:rsidR="004E2E84" w:rsidRPr="00AD6B2F" w:rsidRDefault="004E2E84" w:rsidP="008A7DE4">
      <w:pPr>
        <w:pStyle w:val="NoSpacing"/>
        <w:spacing w:line="276" w:lineRule="auto"/>
        <w:jc w:val="both"/>
        <w:rPr>
          <w:rFonts w:asciiTheme="majorBidi" w:hAnsiTheme="majorBidi" w:cstheme="majorBidi"/>
          <w:sz w:val="16"/>
          <w:szCs w:val="16"/>
        </w:rPr>
      </w:pPr>
    </w:p>
    <w:p w14:paraId="1329D9EE" w14:textId="77777777" w:rsidR="00381628" w:rsidRDefault="00381628" w:rsidP="008A7DE4">
      <w:pPr>
        <w:spacing w:line="276" w:lineRule="auto"/>
        <w:jc w:val="both"/>
        <w:rPr>
          <w:rFonts w:asciiTheme="majorBidi" w:hAnsiTheme="majorBidi" w:cstheme="majorBidi"/>
          <w:sz w:val="16"/>
          <w:szCs w:val="16"/>
        </w:rPr>
      </w:pPr>
    </w:p>
    <w:p w14:paraId="04F98C53" w14:textId="77777777" w:rsidR="00381628" w:rsidRDefault="00381628" w:rsidP="008A7DE4">
      <w:pPr>
        <w:spacing w:line="276" w:lineRule="auto"/>
        <w:jc w:val="both"/>
        <w:rPr>
          <w:rFonts w:asciiTheme="majorBidi" w:hAnsiTheme="majorBidi" w:cstheme="majorBidi"/>
          <w:sz w:val="16"/>
          <w:szCs w:val="16"/>
        </w:rPr>
      </w:pPr>
    </w:p>
    <w:p w14:paraId="46A116B6" w14:textId="77777777" w:rsidR="00381628" w:rsidRDefault="00381628" w:rsidP="008A7DE4">
      <w:pPr>
        <w:spacing w:line="276" w:lineRule="auto"/>
        <w:jc w:val="both"/>
        <w:rPr>
          <w:rFonts w:asciiTheme="majorBidi" w:hAnsiTheme="majorBidi" w:cstheme="majorBidi"/>
          <w:sz w:val="16"/>
          <w:szCs w:val="16"/>
        </w:rPr>
      </w:pPr>
    </w:p>
    <w:p w14:paraId="3AB4FF0E" w14:textId="77777777" w:rsidR="00381628" w:rsidRDefault="00381628" w:rsidP="008A7DE4">
      <w:pPr>
        <w:spacing w:line="276" w:lineRule="auto"/>
        <w:jc w:val="both"/>
        <w:rPr>
          <w:rFonts w:asciiTheme="majorBidi" w:hAnsiTheme="majorBidi" w:cstheme="majorBidi"/>
          <w:sz w:val="16"/>
          <w:szCs w:val="16"/>
        </w:rPr>
      </w:pPr>
    </w:p>
    <w:p w14:paraId="1E265696" w14:textId="77777777" w:rsidR="00381628" w:rsidRDefault="00381628" w:rsidP="008A7DE4">
      <w:pPr>
        <w:spacing w:line="276" w:lineRule="auto"/>
        <w:jc w:val="both"/>
        <w:rPr>
          <w:rFonts w:asciiTheme="majorBidi" w:hAnsiTheme="majorBidi" w:cstheme="majorBidi"/>
          <w:sz w:val="16"/>
          <w:szCs w:val="16"/>
        </w:rPr>
      </w:pPr>
    </w:p>
    <w:p w14:paraId="55A03F59" w14:textId="77777777" w:rsidR="00381628" w:rsidRDefault="00381628" w:rsidP="008A7DE4">
      <w:pPr>
        <w:spacing w:line="276" w:lineRule="auto"/>
        <w:jc w:val="both"/>
        <w:rPr>
          <w:rFonts w:asciiTheme="majorBidi" w:hAnsiTheme="majorBidi" w:cstheme="majorBidi"/>
          <w:sz w:val="16"/>
          <w:szCs w:val="16"/>
        </w:rPr>
      </w:pPr>
    </w:p>
    <w:p w14:paraId="6247826E" w14:textId="77777777" w:rsidR="00381628" w:rsidRDefault="00381628" w:rsidP="008A7DE4">
      <w:pPr>
        <w:spacing w:line="276" w:lineRule="auto"/>
        <w:jc w:val="both"/>
        <w:rPr>
          <w:rFonts w:asciiTheme="majorBidi" w:hAnsiTheme="majorBidi" w:cstheme="majorBidi"/>
          <w:sz w:val="16"/>
          <w:szCs w:val="16"/>
        </w:rPr>
      </w:pPr>
    </w:p>
    <w:p w14:paraId="438D71C4" w14:textId="77777777" w:rsidR="00381628" w:rsidRDefault="00381628" w:rsidP="008A7DE4">
      <w:pPr>
        <w:spacing w:line="276" w:lineRule="auto"/>
        <w:jc w:val="both"/>
        <w:rPr>
          <w:rFonts w:asciiTheme="majorBidi" w:hAnsiTheme="majorBidi" w:cstheme="majorBidi"/>
          <w:sz w:val="16"/>
          <w:szCs w:val="16"/>
        </w:rPr>
      </w:pPr>
    </w:p>
    <w:p w14:paraId="00AF8431" w14:textId="77777777" w:rsidR="00381628" w:rsidRDefault="00381628" w:rsidP="008A7DE4">
      <w:pPr>
        <w:spacing w:line="276" w:lineRule="auto"/>
        <w:jc w:val="both"/>
        <w:rPr>
          <w:rFonts w:asciiTheme="majorBidi" w:hAnsiTheme="majorBidi" w:cstheme="majorBidi"/>
          <w:sz w:val="16"/>
          <w:szCs w:val="16"/>
        </w:rPr>
      </w:pPr>
    </w:p>
    <w:p w14:paraId="073841F8" w14:textId="77777777" w:rsidR="00381628" w:rsidRDefault="00381628" w:rsidP="008A7DE4">
      <w:pPr>
        <w:spacing w:line="276" w:lineRule="auto"/>
        <w:jc w:val="both"/>
        <w:rPr>
          <w:rFonts w:asciiTheme="majorBidi" w:hAnsiTheme="majorBidi" w:cstheme="majorBidi"/>
          <w:sz w:val="16"/>
          <w:szCs w:val="16"/>
        </w:rPr>
      </w:pPr>
    </w:p>
    <w:p w14:paraId="12E2FF7C" w14:textId="77777777" w:rsidR="00381628" w:rsidRDefault="00381628" w:rsidP="008A7DE4">
      <w:pPr>
        <w:spacing w:line="276" w:lineRule="auto"/>
        <w:jc w:val="both"/>
        <w:rPr>
          <w:rFonts w:asciiTheme="majorBidi" w:hAnsiTheme="majorBidi" w:cstheme="majorBidi"/>
          <w:sz w:val="16"/>
          <w:szCs w:val="16"/>
        </w:rPr>
      </w:pPr>
    </w:p>
    <w:p w14:paraId="46F5D67B" w14:textId="77777777" w:rsidR="00381628" w:rsidRDefault="00381628" w:rsidP="008A7DE4">
      <w:pPr>
        <w:spacing w:line="276" w:lineRule="auto"/>
        <w:jc w:val="both"/>
        <w:rPr>
          <w:rFonts w:asciiTheme="majorBidi" w:hAnsiTheme="majorBidi" w:cstheme="majorBidi"/>
          <w:sz w:val="16"/>
          <w:szCs w:val="16"/>
        </w:rPr>
      </w:pPr>
    </w:p>
    <w:p w14:paraId="78178C88" w14:textId="77777777" w:rsidR="00381628" w:rsidRDefault="00381628" w:rsidP="008A7DE4">
      <w:pPr>
        <w:spacing w:line="276" w:lineRule="auto"/>
        <w:jc w:val="both"/>
        <w:rPr>
          <w:rFonts w:asciiTheme="majorBidi" w:hAnsiTheme="majorBidi" w:cstheme="majorBidi"/>
          <w:sz w:val="16"/>
          <w:szCs w:val="16"/>
        </w:rPr>
      </w:pPr>
    </w:p>
    <w:p w14:paraId="0257A551" w14:textId="3594A835" w:rsidR="003104C2" w:rsidRPr="00633487" w:rsidRDefault="004E2E84" w:rsidP="00633487">
      <w:pPr>
        <w:spacing w:line="276" w:lineRule="auto"/>
        <w:jc w:val="both"/>
        <w:rPr>
          <w:rFonts w:asciiTheme="majorBidi" w:hAnsiTheme="majorBidi" w:cstheme="majorBidi"/>
          <w:sz w:val="16"/>
          <w:szCs w:val="16"/>
        </w:rPr>
        <w:sectPr w:rsidR="003104C2" w:rsidRPr="00633487" w:rsidSect="00A65C9E">
          <w:headerReference w:type="default" r:id="rId8"/>
          <w:footerReference w:type="default" r:id="rId9"/>
          <w:headerReference w:type="first" r:id="rId10"/>
          <w:footerReference w:type="first" r:id="rId11"/>
          <w:pgSz w:w="12240" w:h="15840"/>
          <w:pgMar w:top="1890" w:right="720" w:bottom="720" w:left="720" w:header="720" w:footer="172" w:gutter="0"/>
          <w:pgNumType w:start="19"/>
          <w:cols w:space="720"/>
          <w:titlePg/>
          <w:docGrid w:linePitch="360"/>
        </w:sectPr>
      </w:pPr>
      <w:r w:rsidRPr="00AD6B2F">
        <w:rPr>
          <w:rFonts w:asciiTheme="majorBidi" w:hAnsiTheme="majorBidi" w:cstheme="majorBidi"/>
          <w:sz w:val="16"/>
          <w:szCs w:val="16"/>
        </w:rPr>
        <w:br w:type="page"/>
      </w:r>
    </w:p>
    <w:p w14:paraId="167BD350" w14:textId="27665046" w:rsidR="00E9747D" w:rsidRPr="008542EF" w:rsidRDefault="0095410F" w:rsidP="008542EF">
      <w:pPr>
        <w:pStyle w:val="Heading1"/>
        <w:spacing w:after="120" w:line="240" w:lineRule="auto"/>
        <w:jc w:val="both"/>
        <w:rPr>
          <w:rFonts w:asciiTheme="majorBidi" w:hAnsiTheme="majorBidi"/>
        </w:rPr>
      </w:pPr>
      <w:r w:rsidRPr="008542EF">
        <w:rPr>
          <w:rFonts w:asciiTheme="majorBidi" w:hAnsiTheme="majorBidi"/>
        </w:rPr>
        <w:lastRenderedPageBreak/>
        <w:t>Introduction</w:t>
      </w:r>
    </w:p>
    <w:p w14:paraId="213ECE33"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Gestational diabetes mellitus (GDM) represents a growing public health challenge and is widely recognized as one of the most frequent metabolic disorders complicating pregnancy. Defined by glucose intolerance that is first detected during gestation, GDM impacts roughly 7–10% of pregnancies worldwide, though the reported prevalence fluctuates based on varying screening methods and diagnostic criteria. Increasing maternal age, rising obesity rates, and sedentary habits have all contributed to the growing burden of GDM, presenting substantial risks to both maternal and neonatal health. Such risks include an elevated likelihood of hypertensive disorders, cesarean sections, macrosomia, neonatal hypoglycemia, and lasting metabolic complications for the child (1,2). The medical and societal consequences of GDM reach far beyond the gestational period. Mothers diagnosed with GDM encounter a markedly higher risk of developing type 2 diabetes mellitus (T2DM) later in life, and their children may exhibit a greater predisposition to obesity and impaired glucose tolerance throughout childhood and adolescence (3,4). Given these consequences, early detection and prompt intervention are crucial to minimizing immediate and long-term health hazards. Yet, despite heightened awareness and clinical attention, a unified consensus on optimal diagnostic and management practices remains elusive across different regions and healthcare institutions.</w:t>
      </w:r>
    </w:p>
    <w:p w14:paraId="0179451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Recent evidence underscores various strategies for managing GDM, establishing dietary therapy and lifestyle adjustments as the foundation of initial treatment. Nutritional counseling paired with moderate exercise has proven effective in sustaining euglycemia, typically through structured meal plans that prioritize portion control and low-glycemic foods (5). However, when glycemic goals are not achieved through lifestyle modifications alone, pharmacological treatments become necessary. While insulin has traditionally served as the standard of care, emerging research supports the application of oral hypoglycemic medications, such as metformin and glyburide. These alternatives can deliver comparable effectiveness alongside greater patient convenience (6,7). Additionally, technological innovations are transforming GDM care. The adoption of continuous glucose monitoring systems (CGMS) and digital health applications provides better real-time glucose tracking, boosts patient engagement, and enhances treatment adherence. Such digital tools are especially beneficial for high-risk pregnancies that demand strict glycemic control, or for individuals facing barriers to regular in-person clinical visits. Moreover, newer insulin analogs—including aspart, lispro, and detemir—demonstrate improved pharmacokinetic properties and a lower risk of hypoglycemia when compared to traditional formulations, offering clinicians greater flexibility in patient care (8,9).</w:t>
      </w:r>
    </w:p>
    <w:p w14:paraId="245C0634"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Even with an expanding body of research, significant knowledge gaps remain across several domains. Identifying the ideal timing and criteria for GDM screening continues to be a subject of debate, particularly concerning the adoption of one-step versus two-step diagnostic frameworks. Furthermore, additional data is required to evaluate the long-term safety and efficacy of oral antidiabetic medications across diverse demographics, given that genetic and ethnic differences can significantly impact disease presentation and drug metabolism. The effectiveness of novel preventive measures—including early-pregnancy exercise interventions, vitamin D supplementation, and probiotics—also demands further confirmation through extensive randomized controlled trials (10-12). Prompted by the swift advancements in clinical knowledge and technology, this narrative review sets out to investigate current trends in GDM management. In particular, it evaluates progress in screening methodologies, nutritional and pharmacological therapies, and the incorporation of digital health tools into routine practice. By consolidating current evidence and pointing out directions for future research, this review intends to provide healthcare professionals with a thorough, practical framework for enhancing GDM care in contemporary clinical environments. The value of this review rests in its up-to-date assessment of both traditional and innovative approaches, directly responding to the critical need for cohesive, evidence-based guidelines. As global healthcare systems work to deliver personalized yet cost-effective and scalable treatments, this paper highlights the necessity of employing multidisciplinary strategies aimed at optimizing maternal and fetal health outcomes throughout pregnancy and the postpartum period.</w:t>
      </w:r>
    </w:p>
    <w:p w14:paraId="00CF7BB8"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THEMATIC DISCUSSION</w:t>
      </w:r>
    </w:p>
    <w:p w14:paraId="32C9F2EC"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Evolving Approaches to Screening and Diagnosis</w:t>
      </w:r>
    </w:p>
    <w:p w14:paraId="0879209B"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 xml:space="preserve">Over the past decade, screening methods for gestational diabetes mellitus (GDM) have undergone considerable refinement, prompted by the necessity for early and precise detection. While traditional diagnostic workflows heavily depended on two-step strategies—incorporating initial glucose challenge tests followed by oral glucose tolerance tests (OGTT)—recent trends favor the one-step 75g </w:t>
      </w:r>
      <w:r w:rsidRPr="00CC2A43">
        <w:rPr>
          <w:rFonts w:asciiTheme="majorBidi" w:hAnsiTheme="majorBidi" w:cstheme="majorBidi"/>
          <w:sz w:val="20"/>
          <w:szCs w:val="20"/>
          <w:lang w:val="en-US"/>
        </w:rPr>
        <w:lastRenderedPageBreak/>
        <w:t>OGTT advocated by the International Association of the Diabetes and Pregnancy Study Groups (IADPSG) due to its superior sensitivity. Nevertheless, debate persists regarding the ideal strategy. Certain regions continue to favor the two-step framework owing to its lower cost and decreased burden on patients. The absence of a universally accepted standard generates notable disparities in global GDM prevalence, with reported rates stretching from 1% past 20% depending on the chosen criteria (1,2). This variability complicates direct comparisons across studies and presents a major obstacle to harmonizing global health policies.</w:t>
      </w:r>
    </w:p>
    <w:p w14:paraId="29E48342"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Lifestyle Interventions: First-Line and Foundational Therapy</w:t>
      </w:r>
    </w:p>
    <w:p w14:paraId="3E8C4BDD"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Nutritional therapy and physical activity are consistently recognized as the initial, core interventions for GDM. Medical nutrition therapy (MNT) seeks to sustain euglycemia while facilitating proper weight gain and fetal growth. Recent investigations highlight customized dietary planning that incorporates cultural food preferences alongside patient education to maximize adherence (3). Physical activity, particularly moderate-intensity aerobic exercise, has also surfaced as a vital complement to diet, with evidence indicating reductions in fasting glucose levels alongside enhanced insulin sensitivity (4). Despite steady backing for these measures, their execution in daily clinical practice fluctuates extensively. Primary hurdles include limited patient engagement, resource constraints, and inconsistent guidance from providers.</w:t>
      </w:r>
    </w:p>
    <w:p w14:paraId="2747270E"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Pharmacological Advancements in Glycemic Control</w:t>
      </w:r>
    </w:p>
    <w:p w14:paraId="6FB20412"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Although lifestyle approaches remain central, up to 30% of patients with GDM require pharmaceutical assistance. Insulin has long functioned as the standard of care given its established safety profile during pregnancy. Yet, emerging findings back the growing application of oral hypoglycemic medications, specifically metformin. Several reports indicate that metformin effectively achieves targeted glycemic goals and may deliver secondary advantages like reduced maternal weight gain and lower neonatal adiposity (5,6). Insulin analogs such as aspart and detemir are likewise gaining popularity owing to improved pharmacokinetics and a diminished risk of hypoglycemia relative to human insulin (7). Nonetheless, anxieties linger regarding the long-term consequences of in utero exposure to metformin, particularly concerning childhood development and metabolic outcomes. Consequently, metformin is frequently restricted to situations where individuals cannot or choose not to use insulin, highlighting a persistent point of contention.</w:t>
      </w:r>
    </w:p>
    <w:p w14:paraId="1B532B64"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Integration of Digital Tools in GDM Management</w:t>
      </w:r>
    </w:p>
    <w:p w14:paraId="60B450C0"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Technology-enabled solutions are reshaping how GDM is handled. Digital health platforms and smartphone applications deliver glucose tracking, dietary logging, remote consultations, and educational components, empowering women to actively direct their care. Continuous glucose monitoring systems (CGMS) have demonstrated potential in bettering glycemic regulation and decreasing instances of severe hypoglycemia (8). Furthermore, these resources enable real-time feedback from clinicians and boost compliance among patients. Still, obstacles like cost, digital literacy, and equitable access restrict their widespread implementation. Evidence backing their efficacy continues to evolve, with certain studies noting minimal outcome differences relative to standard self-monitoring of blood glucose (SMBG), pointing to a need for further study.</w:t>
      </w:r>
    </w:p>
    <w:p w14:paraId="008AC326"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Postpartum Follow-Up and Long-Term Implications</w:t>
      </w:r>
    </w:p>
    <w:p w14:paraId="666D43C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GDM is increasingly viewed not merely as a temporary gestational condition, but as a strong predictor of subsequent metabolic dysfunction. Women with a history of GDM face a sevenfold higher risk of developing type 2 diabetes over a 5–10 year postpartum window (9). Postpartum evaluations, however, are inconsistently carried out. A substantial fraction of patients fail to complete the suggested glucose assessments within 6–12 weeks following delivery. Longitudinal studies stress the significance of structured follow-up routines, lifestyle counseling, and, when appropriate, preventive medication using drugs like metformin for individuals who develop prediabetes (10,11). Digital alert systems and the integration of postpartum support into standard maternal care have displayed promise in raising follow-up rates, though they demand robust infrastructures to achieve scalability.</w:t>
      </w:r>
    </w:p>
    <w:p w14:paraId="08CDDAE6"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Maternal and Neonatal Outcomes</w:t>
      </w:r>
    </w:p>
    <w:p w14:paraId="5C5371EF"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 xml:space="preserve">Successful GDM care correlates with decreases in macrosomia, shoulder dystocia, preeclampsia, and neonatal hypoglycemia. Evidence confirms that strict glycemic regulation aligns with enhanced perinatal outcomes irrespective of the method utilized to reach them (12). On the other hand, overtreatment introduces its own dangers, chiefly through overly strict dietary restrictions or aggressive insulin regimens, which can result in small-for-gestational-age (SGA) infants. This delicate balance emphasizes the necessity of personalized care plans that modify treatment according to maternal weight, glucose trends, and fetal growth indicators. Despite therapeutic progress, </w:t>
      </w:r>
      <w:r w:rsidRPr="00CC2A43">
        <w:rPr>
          <w:rFonts w:asciiTheme="majorBidi" w:hAnsiTheme="majorBidi" w:cstheme="majorBidi"/>
          <w:sz w:val="20"/>
          <w:szCs w:val="20"/>
          <w:lang w:val="en-US"/>
        </w:rPr>
        <w:lastRenderedPageBreak/>
        <w:t>gaps in maternal and neonatal health outcomes persist among ethnic minorities, pointing to underlying systemic inequalities that demand focused intervention.</w:t>
      </w:r>
    </w:p>
    <w:p w14:paraId="0846C980"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Gaps and Controversies in Current Practice</w:t>
      </w:r>
    </w:p>
    <w:p w14:paraId="1EACE7A7"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Despite extensive exploration, several gaps remain. The optimal timeline for initiating screening within high-risk populations is still undetermined. Likewise, disagreement persists concerning the safety and long-term metabolic impact of oral agents, particularly among non-obese and early-diagnosed patients. Furthermore, limited data exists regarding the inclusion of culturally competent care into GDM protocols—a challenge that disproportionately affects women from diverse ethnic backgrounds. The employment of probiotics, vitamin D, and myoinositol as prospective preventative agents has drawn interest but lacks validation from large-scale randomized trials. In addition, the long-term prognosis for children exposed to various treatment regimens in utero remains an area of ongoing study.</w:t>
      </w:r>
    </w:p>
    <w:p w14:paraId="6A3FB553"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Toward a Personalized, Multidisciplinary Model of Care</w:t>
      </w:r>
    </w:p>
    <w:p w14:paraId="291C322E"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The future of GDM management relies on personalization—utilizing biomarkers, digital health innovations, and patient-specific risk profiles to customize therapy. Multidisciplinary teams uniting obstetricians, endocrinologists, dietitians, and behavioral specialists have shown promise in elevating adherence and outcomes. Embedding patient-centered philosophies into routine antenatal care can bridge numerous existing gaps and improve both maternal and infant health. Efforts must also direct attention toward policy-level adjustments that prioritize postpartum care and preventative measures reaching well past delivery.</w:t>
      </w:r>
    </w:p>
    <w:p w14:paraId="56F8CE98"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CRITICAL ANALYSIS AND LIMITATIONS</w:t>
      </w:r>
    </w:p>
    <w:p w14:paraId="221A7EDA"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The existing literature concerning the management of gestational diabetes mellitus (GDM) has grown substantially over recent years; however, a critical examination uncovers several interpretative and methodological constraints that limit the strength and applicability of current conclusions. A primary concern is the heterogeneity of study designs, as many rely heavily on retrospective analyses or observational frameworks. Although such investigations offer valuable real-world perspectives, their lack of control groups and randomization restricts the validity of causal claims. Randomized controlled trials (RCTs)—the gold standard for assessing medical interventions—continue to be underrepresented within this field. When RCTs are performed, they frequently feature small participant cohorts or target narrowly defined patient subsets, thereby lowering statistical power and elevating the probability of Type II errors (12).</w:t>
      </w:r>
    </w:p>
    <w:p w14:paraId="6D813EAB"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Another major restriction relates to abbreviated follow-up windows. Numerous studies evaluate results restricted to the antenatal stage or the immediate postpartum phase, missing vital data regarding long-term neonatal and maternal metabolic health. For instance, the lasting consequences of intrauterine exposure to medications like metformin on children's insulin sensitivity or weight trajectories are rarely explored comprehensively across trials, despite preliminary indicators suggesting long-term impacts (13). This absence of longitudinal data hampers the development of well-informed clinical guidelines that tackle postnatal and intergenerational hazards connected to GDM.</w:t>
      </w:r>
    </w:p>
    <w:p w14:paraId="124E1F49"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Methodological bias is likewise widespread throughout the research. Selection bias frequently emerges from drawing on relatively homogeneous populations, often omitting women with comorbidities or those originating from low-resource environments. Such selective sampling diminishes how generally applicable findings are to wider, more varied demographics. Furthermore, performance bias—arising from a lack of blinding across behavioral or drug interventions—presents an ongoing problem. Within trials comparing insulin and metformin, clinicians and patients are typically aware of the assigned treatment, which can inadvertently shape behavioral adherence or outcome reporting (14,15). Confounders, including parity, socioeconomic background, and baseline body mass index, are not uniformly controlled for across studies, potentially skewing effect sizes. For example, while dietary and exercise interventions enjoy broad support, the lack of standardized protocols and varying patient compliance make it challenging to separate an intervention's true effectiveness from external variables (16). These discrepancies impede reliable cross-study comparisons and can foster misleading assumptions regarding the value of specific management approaches.</w:t>
      </w:r>
    </w:p>
    <w:p w14:paraId="5A12DC0E"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Publication bias represents an additional factor that cannot be ignored. Favorable outcomes—particularly those showing major gains in glycemic control or neonatal health—are more frequently published, while null or negative results remain underrepresented. This selective visibility fosters a distorted perspective regarding the relative advantages of modern pharmacological options or digital applications, reinforcing potentially inflated expectations of their performance. A systematic underrepresentation of studies featuring modest or inconclusive data can consequently skew policy proposals and meta-analyses (17,18).</w:t>
      </w:r>
    </w:p>
    <w:p w14:paraId="2090E931"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lastRenderedPageBreak/>
        <w:t>Inconsistencies in measuring outcomes add further complexity to interpreting results. Various trials employ distinct endpoints to characterize treatment success—stretching from postprandial targets and mean fasting glucose levels to maternal weight gain, composite perinatal morbidity indices, and neonatal birth weight. Such variation restricts the capacity to synthesize information meaningfully and establish universal benchmarks for clinical efficacy. For instance, whereas certain studies emphasize neonatal macrosomia as a primary endpoint, others concentrate solely on maternal glucose metrics, potentially overlooking broader impacts on fetal well-being (19).</w:t>
      </w:r>
    </w:p>
    <w:p w14:paraId="724ECA0D"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Generalizability remains a pressing hurdle. A significant portion of the research stems from high-income nations featuring well-funded healthcare infrastructures, which restricts the translation of findings to lower-income areas where access to multidisciplinary teams, digital monitoring, or insulin is frequently restricted. Additionally, genetic, dietary, and cultural variations are rarely considered, despite their known influence on treatment response and glucose metabolism. This demographic and geographic constraint highlights the critical need for inclusive, multicenter trials incorporating socioeconomically and ethnically diverse cohorts (20). Ultimately, while GDM management literature has expanded in complexity and scope, its utility in directing universal medical practice is constrained by methodological discrepancies, an underrepresentation of robust trial frameworks, and a shortage of diverse participant groups. A more globally coordinated, standardized research agenda backed by well-powered RCTs and extended follow-up trials is vital to bridging existing gaps and strengthening the evidence base for effective, equitable, and personalized care.</w:t>
      </w:r>
    </w:p>
    <w:p w14:paraId="53AA38FA"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IMPLICATIONS AND FUTURE DIRECTIONS</w:t>
      </w:r>
    </w:p>
    <w:p w14:paraId="4458AA28"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The insights derived from this narrative review present notable implications for enhancing clinical practice in GDM management. As evidence continues to evolve, healthcare providers are better positioned to customize treatment approaches, moving away from uniform, one-size-fits-all frameworks. For example, incorporating oral hypoglycemic drugs like metformin for suitable candidates can deliver a more patient-friendly substitute to insulin without compromising perinatal outcomes. This mirrors a transition toward less invasive, more acceptable therapeutic options for pregnant women, which can boost compliance and satisfaction with care (21). Similarly, continuous glucose monitoring systems (CGMS) and digital tools can improve patient engagement and support tighter glycemic regulation, particularly for individuals requiring intensive monitoring or residing in remote locations (22). When applied thoughtfully, these instruments may cut down on hospital visits and permit real-time therapeutic adjustments, ultimately encouraging safer pregnancies.</w:t>
      </w:r>
    </w:p>
    <w:p w14:paraId="1884AA7C"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From a policy and guideline standpoint, there is a clear imperative to standardize screening and diagnostic protocols globally. Ongoing discrepancies in diagnostic criteria and screening approaches drive significant differences in reported prevalence rates and treatment thresholds. This inconsistency emphasizes the value of creating universally accepted clinical guidelines that mirror current evidence while permitting flexibility for local patient demographics and resource availability (23). Policymakers must also weigh integrating postpartum surveillance for women with GDM into standard maternal healthcare pathways. Given the elevated likelihood of progressing to type 2 diabetes mellitus, structured follow-up plans incorporating risk stratification tools, glycemic testing, and lifestyle counseling ought to be institutionalized to lessen long-term health burdens on both mothers and children (24).</w:t>
      </w:r>
    </w:p>
    <w:p w14:paraId="348D0461"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Despite substantial progress, multiple questions remain unanswered. The long-term safety profile of drug treatments like metformin regarding offspring metabolic wellness is not entirely understood. While short-term outcomes appear reassuring, longitudinal research evaluating developmental and metabolic parameters extending into adolescence and adulthood is critically missing. Moreover, the comparative efficacy of traditional self-monitoring of blood glucose (SMBG) methods versus CGMS in routine pregnancies—rather than solely high-risk scenarios—demands further exploration. Limited evidence also exists on how digital platforms can be effectively scaled across low- and middle-income countries where access to technology and trained staff is constrained (25).</w:t>
      </w:r>
    </w:p>
    <w:p w14:paraId="20EDD2F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 xml:space="preserve">To resolve these shortcomings, future studies should prioritize well-conceived, adequately powered randomized controlled trials featuring diverse populations. Such investigations must incorporate extended follow-up phases stretching into the postnatal years to capture the full scope of maternal and child health outcomes. Furthermore, subsequent trials should concentrate on standardizing outcome definitions, such as benchmarks for adverse events and treatment success, to facilitate better synthesis and comparison across studies. Multinational and multicenter trials will prove especially valuable in boosting the external validity of findings, given the variations in dietary patterns, genetic predispositions, and healthcare systems worldwide (26). Adaptive trial structures, which permit real-time adjustments to study protocols based on interim data, can also prove advantageous within fast-moving fields like personalized medicine and digital health. In summary, this review highlights actionable insights for enhancing clinical management, backs the push for harmonized international guidelines, and specifies targets for future inquiry. A collaborative effort among researchers, clinicians, and </w:t>
      </w:r>
      <w:r w:rsidRPr="00CC2A43">
        <w:rPr>
          <w:rFonts w:asciiTheme="majorBidi" w:hAnsiTheme="majorBidi" w:cstheme="majorBidi"/>
          <w:sz w:val="20"/>
          <w:szCs w:val="20"/>
          <w:lang w:val="en-US"/>
        </w:rPr>
        <w:lastRenderedPageBreak/>
        <w:t>policymakers is required to refine GDM care in ways that remain patient-centered, evidence-based, and equitable across diverse clinical environments.</w:t>
      </w:r>
    </w:p>
    <w:p w14:paraId="5EC2D30D"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CONCLUSION</w:t>
      </w:r>
    </w:p>
    <w:p w14:paraId="73276F9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This review highlights the evolving landscape of gestational diabetes mellitus management, emphasizing notable advancements in screening workflows, pharmacologic and dietary interventions, and the rising utility of digital applications. While individualized physical activity and nutritional therapy remain the foundation of care, newer medical options like insulin analogs and metformin have expanded therapeutic choices, especially for patients experiencing poor glycemic control. The integration of digital health innovations, such as continuous glucose monitoring systems, offers a promising pathway for elevating clinical outcomes and patient engagement.</w:t>
      </w:r>
    </w:p>
    <w:p w14:paraId="4AF0D3D7"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Despite these developments, the current body of evidence fluctuates in methodological rigor, with numerous studies restricted by small sample sizes, a lack of long-term follow-up, and inconsistent outcome measures. Clinicians ought to prioritize culturally sensitive, personalized strategies, guarantee postpartum follow-up, and advocate for multidisciplinary care structures. To solidify best practices, upcoming research must prioritize large-scale, multiethnic randomized controlled trials featuring extended follow-up windows and standardized methodologies to evaluate both maternal and offspring results. Consistent clinical guidelines and a cohesive global research agenda are essential to resolving current shortcomings and optimizing care for women dealing with gestational diabetes across varied healthcare settings.</w:t>
      </w:r>
    </w:p>
    <w:p w14:paraId="4CAA3DFF" w14:textId="64B12259" w:rsidR="00CC2A43" w:rsidRDefault="00CC2A43" w:rsidP="00CC2A43">
      <w:pPr>
        <w:spacing w:after="120" w:line="276" w:lineRule="auto"/>
        <w:jc w:val="both"/>
        <w:rPr>
          <w:rFonts w:asciiTheme="majorBidi" w:hAnsiTheme="majorBidi" w:cstheme="majorBidi"/>
          <w:sz w:val="20"/>
          <w:szCs w:val="20"/>
          <w:lang w:val="en-US"/>
        </w:rPr>
      </w:pPr>
    </w:p>
    <w:p w14:paraId="2A8A052D" w14:textId="77777777" w:rsidR="00CC2A43" w:rsidRDefault="00CC2A43" w:rsidP="00CC2A43">
      <w:pPr>
        <w:spacing w:after="120" w:line="276" w:lineRule="auto"/>
        <w:jc w:val="both"/>
        <w:rPr>
          <w:rFonts w:asciiTheme="majorBidi" w:hAnsiTheme="majorBidi" w:cstheme="majorBidi"/>
          <w:sz w:val="20"/>
          <w:szCs w:val="20"/>
          <w:lang w:val="en-US"/>
        </w:rPr>
      </w:pPr>
    </w:p>
    <w:p w14:paraId="506700CF" w14:textId="77777777" w:rsidR="00CC2A43" w:rsidRPr="00CC2A43" w:rsidRDefault="00CC2A43" w:rsidP="00CC2A43">
      <w:pPr>
        <w:spacing w:after="120" w:line="276" w:lineRule="auto"/>
        <w:jc w:val="both"/>
        <w:rPr>
          <w:rFonts w:asciiTheme="majorBidi" w:hAnsiTheme="majorBidi" w:cstheme="majorBidi"/>
          <w:sz w:val="20"/>
          <w:szCs w:val="20"/>
          <w:lang w:val="en-US"/>
        </w:rPr>
      </w:pPr>
    </w:p>
    <w:p w14:paraId="1A96F2E6"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AUTHOR CONTRIBUTION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5"/>
        <w:gridCol w:w="9195"/>
      </w:tblGrid>
      <w:tr w:rsidR="00CC2A43" w:rsidRPr="00CC2A43" w14:paraId="709C6C87" w14:textId="77777777">
        <w:tc>
          <w:tcPr>
            <w:tcW w:w="739" w:type="pct"/>
            <w:tcBorders>
              <w:top w:val="single" w:sz="4" w:space="0" w:color="auto"/>
              <w:left w:val="single" w:sz="4" w:space="0" w:color="auto"/>
              <w:bottom w:val="single" w:sz="4" w:space="0" w:color="auto"/>
              <w:right w:val="single" w:sz="4" w:space="0" w:color="auto"/>
            </w:tcBorders>
            <w:vAlign w:val="center"/>
            <w:hideMark/>
          </w:tcPr>
          <w:p w14:paraId="2BF11209"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Author</w:t>
            </w:r>
          </w:p>
        </w:tc>
        <w:tc>
          <w:tcPr>
            <w:tcW w:w="4261" w:type="pct"/>
            <w:tcBorders>
              <w:top w:val="single" w:sz="4" w:space="0" w:color="auto"/>
              <w:left w:val="single" w:sz="4" w:space="0" w:color="auto"/>
              <w:bottom w:val="single" w:sz="4" w:space="0" w:color="auto"/>
              <w:right w:val="single" w:sz="4" w:space="0" w:color="auto"/>
            </w:tcBorders>
            <w:vAlign w:val="center"/>
            <w:hideMark/>
          </w:tcPr>
          <w:p w14:paraId="5A4DAAC0" w14:textId="77777777" w:rsidR="00CC2A43" w:rsidRPr="00CC2A43" w:rsidRDefault="00CC2A43" w:rsidP="00CC2A43">
            <w:pPr>
              <w:spacing w:after="120" w:line="276" w:lineRule="auto"/>
              <w:jc w:val="both"/>
              <w:rPr>
                <w:rFonts w:asciiTheme="majorBidi" w:hAnsiTheme="majorBidi" w:cstheme="majorBidi"/>
                <w:b/>
                <w:bCs/>
                <w:sz w:val="20"/>
                <w:szCs w:val="20"/>
                <w:lang w:val="en-US"/>
              </w:rPr>
            </w:pPr>
            <w:r w:rsidRPr="00CC2A43">
              <w:rPr>
                <w:rFonts w:asciiTheme="majorBidi" w:hAnsiTheme="majorBidi" w:cstheme="majorBidi"/>
                <w:b/>
                <w:bCs/>
                <w:sz w:val="20"/>
                <w:szCs w:val="20"/>
                <w:lang w:val="en-US"/>
              </w:rPr>
              <w:t>Contribution</w:t>
            </w:r>
          </w:p>
        </w:tc>
      </w:tr>
      <w:tr w:rsidR="00CC2A43" w:rsidRPr="00CC2A43" w14:paraId="6BC15A23" w14:textId="77777777">
        <w:trPr>
          <w:trHeight w:val="215"/>
        </w:trPr>
        <w:tc>
          <w:tcPr>
            <w:tcW w:w="739" w:type="pct"/>
            <w:tcBorders>
              <w:top w:val="single" w:sz="4" w:space="0" w:color="auto"/>
              <w:left w:val="single" w:sz="4" w:space="0" w:color="auto"/>
              <w:bottom w:val="single" w:sz="4" w:space="0" w:color="auto"/>
              <w:right w:val="single" w:sz="4" w:space="0" w:color="auto"/>
            </w:tcBorders>
            <w:vAlign w:val="center"/>
            <w:hideMark/>
          </w:tcPr>
          <w:p w14:paraId="3BFC5CA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Irfan Ishaque*</w:t>
            </w:r>
          </w:p>
        </w:tc>
        <w:tc>
          <w:tcPr>
            <w:tcW w:w="4261" w:type="pct"/>
            <w:tcBorders>
              <w:top w:val="single" w:sz="4" w:space="0" w:color="auto"/>
              <w:left w:val="single" w:sz="4" w:space="0" w:color="auto"/>
              <w:bottom w:val="single" w:sz="4" w:space="0" w:color="auto"/>
              <w:right w:val="single" w:sz="4" w:space="0" w:color="auto"/>
            </w:tcBorders>
            <w:hideMark/>
          </w:tcPr>
          <w:p w14:paraId="5B7B0B78"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Substantial Contribution to study design, analysis, acquisition of Data</w:t>
            </w:r>
          </w:p>
          <w:p w14:paraId="1A73D928"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Manuscript Writing</w:t>
            </w:r>
          </w:p>
          <w:p w14:paraId="695E8FD9"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Has given Final Approval of the version to be published</w:t>
            </w:r>
          </w:p>
        </w:tc>
      </w:tr>
      <w:tr w:rsidR="00CC2A43" w:rsidRPr="00CC2A43" w14:paraId="2CED23C3" w14:textId="77777777">
        <w:tc>
          <w:tcPr>
            <w:tcW w:w="739" w:type="pct"/>
            <w:tcBorders>
              <w:top w:val="single" w:sz="4" w:space="0" w:color="auto"/>
              <w:left w:val="single" w:sz="4" w:space="0" w:color="auto"/>
              <w:bottom w:val="single" w:sz="4" w:space="0" w:color="auto"/>
              <w:right w:val="single" w:sz="4" w:space="0" w:color="auto"/>
            </w:tcBorders>
            <w:vAlign w:val="center"/>
            <w:hideMark/>
          </w:tcPr>
          <w:p w14:paraId="73ABD68A"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Zunaira Naveed</w:t>
            </w:r>
          </w:p>
        </w:tc>
        <w:tc>
          <w:tcPr>
            <w:tcW w:w="4261" w:type="pct"/>
            <w:tcBorders>
              <w:top w:val="single" w:sz="4" w:space="0" w:color="auto"/>
              <w:left w:val="single" w:sz="4" w:space="0" w:color="auto"/>
              <w:bottom w:val="single" w:sz="4" w:space="0" w:color="auto"/>
              <w:right w:val="single" w:sz="4" w:space="0" w:color="auto"/>
            </w:tcBorders>
            <w:hideMark/>
          </w:tcPr>
          <w:p w14:paraId="225266A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Substantial Contribution to study design, acquisition and interpretation of Data</w:t>
            </w:r>
          </w:p>
          <w:p w14:paraId="4E387AD1"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Critical Review and Manuscript Writing</w:t>
            </w:r>
          </w:p>
          <w:p w14:paraId="67CC8A93"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Has given Final Approval of the version to be published</w:t>
            </w:r>
          </w:p>
        </w:tc>
      </w:tr>
      <w:tr w:rsidR="00CC2A43" w:rsidRPr="00CC2A43" w14:paraId="3D8F0476" w14:textId="77777777">
        <w:tc>
          <w:tcPr>
            <w:tcW w:w="739" w:type="pct"/>
            <w:tcBorders>
              <w:top w:val="single" w:sz="4" w:space="0" w:color="auto"/>
              <w:left w:val="single" w:sz="4" w:space="0" w:color="auto"/>
              <w:bottom w:val="single" w:sz="4" w:space="0" w:color="auto"/>
              <w:right w:val="single" w:sz="4" w:space="0" w:color="auto"/>
            </w:tcBorders>
            <w:vAlign w:val="center"/>
            <w:hideMark/>
          </w:tcPr>
          <w:p w14:paraId="2081BB12"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Tahir Hafeez</w:t>
            </w:r>
          </w:p>
        </w:tc>
        <w:tc>
          <w:tcPr>
            <w:tcW w:w="4261" w:type="pct"/>
            <w:tcBorders>
              <w:top w:val="single" w:sz="4" w:space="0" w:color="auto"/>
              <w:left w:val="single" w:sz="4" w:space="0" w:color="auto"/>
              <w:bottom w:val="single" w:sz="4" w:space="0" w:color="auto"/>
              <w:right w:val="single" w:sz="4" w:space="0" w:color="auto"/>
            </w:tcBorders>
            <w:hideMark/>
          </w:tcPr>
          <w:p w14:paraId="2BF2631A"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Substantial Contribution to acquisition and interpretation of Data</w:t>
            </w:r>
          </w:p>
          <w:p w14:paraId="0CD0B3D1"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Has given Final Approval of the version to be published</w:t>
            </w:r>
          </w:p>
        </w:tc>
      </w:tr>
      <w:tr w:rsidR="00CC2A43" w:rsidRPr="00CC2A43" w14:paraId="19E1B2AD" w14:textId="77777777">
        <w:tc>
          <w:tcPr>
            <w:tcW w:w="739" w:type="pct"/>
            <w:tcBorders>
              <w:top w:val="single" w:sz="4" w:space="0" w:color="auto"/>
              <w:left w:val="single" w:sz="4" w:space="0" w:color="auto"/>
              <w:bottom w:val="single" w:sz="4" w:space="0" w:color="auto"/>
              <w:right w:val="single" w:sz="4" w:space="0" w:color="auto"/>
            </w:tcBorders>
            <w:vAlign w:val="center"/>
            <w:hideMark/>
          </w:tcPr>
          <w:p w14:paraId="32AAEACD"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Rimal Rashid</w:t>
            </w:r>
          </w:p>
        </w:tc>
        <w:tc>
          <w:tcPr>
            <w:tcW w:w="4261" w:type="pct"/>
            <w:tcBorders>
              <w:top w:val="single" w:sz="4" w:space="0" w:color="auto"/>
              <w:left w:val="single" w:sz="4" w:space="0" w:color="auto"/>
              <w:bottom w:val="single" w:sz="4" w:space="0" w:color="auto"/>
              <w:right w:val="single" w:sz="4" w:space="0" w:color="auto"/>
            </w:tcBorders>
            <w:hideMark/>
          </w:tcPr>
          <w:p w14:paraId="61FE7C5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Contributed to Data Collection and Analysis</w:t>
            </w:r>
          </w:p>
          <w:p w14:paraId="7AF4BC1E"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Has given Final Approval of the version to be published</w:t>
            </w:r>
          </w:p>
        </w:tc>
      </w:tr>
      <w:tr w:rsidR="00CC2A43" w:rsidRPr="00CC2A43" w14:paraId="0D1CB9D7" w14:textId="77777777">
        <w:tc>
          <w:tcPr>
            <w:tcW w:w="739" w:type="pct"/>
            <w:tcBorders>
              <w:top w:val="single" w:sz="4" w:space="0" w:color="auto"/>
              <w:left w:val="single" w:sz="4" w:space="0" w:color="auto"/>
              <w:bottom w:val="single" w:sz="4" w:space="0" w:color="auto"/>
              <w:right w:val="single" w:sz="4" w:space="0" w:color="auto"/>
            </w:tcBorders>
            <w:vAlign w:val="center"/>
            <w:hideMark/>
          </w:tcPr>
          <w:p w14:paraId="0290605B"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Esha Ali</w:t>
            </w:r>
          </w:p>
        </w:tc>
        <w:tc>
          <w:tcPr>
            <w:tcW w:w="4261" w:type="pct"/>
            <w:tcBorders>
              <w:top w:val="single" w:sz="4" w:space="0" w:color="auto"/>
              <w:left w:val="single" w:sz="4" w:space="0" w:color="auto"/>
              <w:bottom w:val="single" w:sz="4" w:space="0" w:color="auto"/>
              <w:right w:val="single" w:sz="4" w:space="0" w:color="auto"/>
            </w:tcBorders>
            <w:hideMark/>
          </w:tcPr>
          <w:p w14:paraId="77CD3DCD"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Contributed to Data Collection and Analysis</w:t>
            </w:r>
          </w:p>
          <w:p w14:paraId="17C8CAE7"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Has given Final Approval of the version to be published</w:t>
            </w:r>
          </w:p>
        </w:tc>
      </w:tr>
      <w:tr w:rsidR="00CC2A43" w:rsidRPr="00CC2A43" w14:paraId="3218C0E4" w14:textId="77777777">
        <w:tc>
          <w:tcPr>
            <w:tcW w:w="739" w:type="pct"/>
            <w:tcBorders>
              <w:top w:val="single" w:sz="4" w:space="0" w:color="auto"/>
              <w:left w:val="single" w:sz="4" w:space="0" w:color="auto"/>
              <w:bottom w:val="single" w:sz="4" w:space="0" w:color="auto"/>
              <w:right w:val="single" w:sz="4" w:space="0" w:color="auto"/>
            </w:tcBorders>
            <w:vAlign w:val="center"/>
            <w:hideMark/>
          </w:tcPr>
          <w:p w14:paraId="2212303E"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Mahwish Ashraf</w:t>
            </w:r>
          </w:p>
        </w:tc>
        <w:tc>
          <w:tcPr>
            <w:tcW w:w="4261" w:type="pct"/>
            <w:tcBorders>
              <w:top w:val="single" w:sz="4" w:space="0" w:color="auto"/>
              <w:left w:val="single" w:sz="4" w:space="0" w:color="auto"/>
              <w:bottom w:val="single" w:sz="4" w:space="0" w:color="auto"/>
              <w:right w:val="single" w:sz="4" w:space="0" w:color="auto"/>
            </w:tcBorders>
            <w:hideMark/>
          </w:tcPr>
          <w:p w14:paraId="2ED18AC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Substantial Contribution to study design and Data Analysis</w:t>
            </w:r>
          </w:p>
          <w:p w14:paraId="37C59603"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Has given Final Approval of the version to be published</w:t>
            </w:r>
          </w:p>
        </w:tc>
      </w:tr>
    </w:tbl>
    <w:p w14:paraId="32AC43E2" w14:textId="77777777" w:rsidR="00CC2A43" w:rsidRPr="00CC2A43" w:rsidRDefault="00CC2A43" w:rsidP="00CC2A43">
      <w:pPr>
        <w:spacing w:after="120" w:line="276" w:lineRule="auto"/>
        <w:jc w:val="both"/>
        <w:rPr>
          <w:rFonts w:asciiTheme="majorBidi" w:hAnsiTheme="majorBidi" w:cstheme="majorBidi"/>
          <w:sz w:val="20"/>
          <w:szCs w:val="20"/>
          <w:lang w:val="en-US"/>
        </w:rPr>
      </w:pPr>
    </w:p>
    <w:p w14:paraId="73F2B82C"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References</w:t>
      </w:r>
    </w:p>
    <w:p w14:paraId="5AF66CBC"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lastRenderedPageBreak/>
        <w:t>1.</w:t>
      </w:r>
      <w:r w:rsidRPr="00CC2A43">
        <w:rPr>
          <w:rFonts w:asciiTheme="majorBidi" w:hAnsiTheme="majorBidi" w:cstheme="majorBidi"/>
          <w:sz w:val="20"/>
          <w:szCs w:val="20"/>
          <w:lang w:val="en-US"/>
        </w:rPr>
        <w:tab/>
        <w:t>Hernandez TL, Farabi SS, Fosdick BK, Hirsch N, Dunn EZ, Rolloff K, et al. Randomization to a Provided Higher-Complex-Carbohydrate Versus Conventional Diet in Gestational Diabetes Mellitus Results in Similar Newborn Adiposity. Diabetes Care. 2023;46(11):1931-40.</w:t>
      </w:r>
    </w:p>
    <w:p w14:paraId="3AB655D8"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w:t>
      </w:r>
      <w:r w:rsidRPr="00CC2A43">
        <w:rPr>
          <w:rFonts w:asciiTheme="majorBidi" w:hAnsiTheme="majorBidi" w:cstheme="majorBidi"/>
          <w:sz w:val="20"/>
          <w:szCs w:val="20"/>
          <w:lang w:val="en-US"/>
        </w:rPr>
        <w:tab/>
        <w:t xml:space="preserve">Kusinski LC, Jones D, Atta N, Turner E, Smith S, Oude Griep LM, et al. Reduced-energy diet in women with gestational diabetes: the dietary intervention in gestational diabetes </w:t>
      </w:r>
      <w:proofErr w:type="spellStart"/>
      <w:r w:rsidRPr="00CC2A43">
        <w:rPr>
          <w:rFonts w:asciiTheme="majorBidi" w:hAnsiTheme="majorBidi" w:cstheme="majorBidi"/>
          <w:sz w:val="20"/>
          <w:szCs w:val="20"/>
          <w:lang w:val="en-US"/>
        </w:rPr>
        <w:t>DiGest</w:t>
      </w:r>
      <w:proofErr w:type="spellEnd"/>
      <w:r w:rsidRPr="00CC2A43">
        <w:rPr>
          <w:rFonts w:asciiTheme="majorBidi" w:hAnsiTheme="majorBidi" w:cstheme="majorBidi"/>
          <w:sz w:val="20"/>
          <w:szCs w:val="20"/>
          <w:lang w:val="en-US"/>
        </w:rPr>
        <w:t xml:space="preserve"> randomized clinical trial. Nat Med. 2025;31(2):514-23.</w:t>
      </w:r>
    </w:p>
    <w:p w14:paraId="00080861"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3.</w:t>
      </w:r>
      <w:r w:rsidRPr="00CC2A43">
        <w:rPr>
          <w:rFonts w:asciiTheme="majorBidi" w:hAnsiTheme="majorBidi" w:cstheme="majorBidi"/>
          <w:sz w:val="20"/>
          <w:szCs w:val="20"/>
          <w:lang w:val="en-US"/>
        </w:rPr>
        <w:tab/>
      </w:r>
      <w:proofErr w:type="spellStart"/>
      <w:r w:rsidRPr="00CC2A43">
        <w:rPr>
          <w:rFonts w:asciiTheme="majorBidi" w:hAnsiTheme="majorBidi" w:cstheme="majorBidi"/>
          <w:sz w:val="20"/>
          <w:szCs w:val="20"/>
          <w:lang w:val="en-US"/>
        </w:rPr>
        <w:t>Léniz</w:t>
      </w:r>
      <w:proofErr w:type="spellEnd"/>
      <w:r w:rsidRPr="00CC2A43">
        <w:rPr>
          <w:rFonts w:asciiTheme="majorBidi" w:hAnsiTheme="majorBidi" w:cstheme="majorBidi"/>
          <w:sz w:val="20"/>
          <w:szCs w:val="20"/>
          <w:lang w:val="en-US"/>
        </w:rPr>
        <w:t xml:space="preserve"> A, González M, </w:t>
      </w:r>
      <w:proofErr w:type="spellStart"/>
      <w:r w:rsidRPr="00CC2A43">
        <w:rPr>
          <w:rFonts w:asciiTheme="majorBidi" w:hAnsiTheme="majorBidi" w:cstheme="majorBidi"/>
          <w:sz w:val="20"/>
          <w:szCs w:val="20"/>
          <w:lang w:val="en-US"/>
        </w:rPr>
        <w:t>Besné</w:t>
      </w:r>
      <w:proofErr w:type="spellEnd"/>
      <w:r w:rsidRPr="00CC2A43">
        <w:rPr>
          <w:rFonts w:asciiTheme="majorBidi" w:hAnsiTheme="majorBidi" w:cstheme="majorBidi"/>
          <w:sz w:val="20"/>
          <w:szCs w:val="20"/>
          <w:lang w:val="en-US"/>
        </w:rPr>
        <w:t xml:space="preserve"> I, Carr-Ugarte H, Gómez-García I, Portillo MP. Role of chemerin in the control of glucose homeostasis. Mol Cell Endocrinol. 2022;541:111504.</w:t>
      </w:r>
    </w:p>
    <w:p w14:paraId="4F361A99"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4.</w:t>
      </w:r>
      <w:r w:rsidRPr="00CC2A43">
        <w:rPr>
          <w:rFonts w:asciiTheme="majorBidi" w:hAnsiTheme="majorBidi" w:cstheme="majorBidi"/>
          <w:sz w:val="20"/>
          <w:szCs w:val="20"/>
          <w:lang w:val="en-US"/>
        </w:rPr>
        <w:tab/>
        <w:t>Laredo-Aguilera JA, Gallardo-Bravo M, Rabanales-Sotos JA, Cobo-Cuenca AI, Carmona-Torres JM. Physical Activity Programs during Pregnancy Are Effective for the Control of Gestational Diabetes Mellitus. Int J Environ Res Public Health. 2020;17(17).</w:t>
      </w:r>
    </w:p>
    <w:p w14:paraId="69A7439C"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5.</w:t>
      </w:r>
      <w:r w:rsidRPr="00CC2A43">
        <w:rPr>
          <w:rFonts w:asciiTheme="majorBidi" w:hAnsiTheme="majorBidi" w:cstheme="majorBidi"/>
          <w:sz w:val="20"/>
          <w:szCs w:val="20"/>
          <w:lang w:val="en-US"/>
        </w:rPr>
        <w:tab/>
        <w:t xml:space="preserve">Kasuga Y, Takahashi M, Kajikawa K, Akita K, Otani T, </w:t>
      </w:r>
      <w:proofErr w:type="spellStart"/>
      <w:r w:rsidRPr="00CC2A43">
        <w:rPr>
          <w:rFonts w:asciiTheme="majorBidi" w:hAnsiTheme="majorBidi" w:cstheme="majorBidi"/>
          <w:sz w:val="20"/>
          <w:szCs w:val="20"/>
          <w:lang w:val="en-US"/>
        </w:rPr>
        <w:t>Ikenoue</w:t>
      </w:r>
      <w:proofErr w:type="spellEnd"/>
      <w:r w:rsidRPr="00CC2A43">
        <w:rPr>
          <w:rFonts w:asciiTheme="majorBidi" w:hAnsiTheme="majorBidi" w:cstheme="majorBidi"/>
          <w:sz w:val="20"/>
          <w:szCs w:val="20"/>
          <w:lang w:val="en-US"/>
        </w:rPr>
        <w:t xml:space="preserve"> S, et al. Perinatal Outcomes of Diet Therapy in Gestational Diabetes Mellitus Diagnosed before 24 Gestational Weeks. Nutrients. 2024;16(11).</w:t>
      </w:r>
    </w:p>
    <w:p w14:paraId="50D9B1F4"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6.</w:t>
      </w:r>
      <w:r w:rsidRPr="00CC2A43">
        <w:rPr>
          <w:rFonts w:asciiTheme="majorBidi" w:hAnsiTheme="majorBidi" w:cstheme="majorBidi"/>
          <w:sz w:val="20"/>
          <w:szCs w:val="20"/>
          <w:lang w:val="en-US"/>
        </w:rPr>
        <w:tab/>
        <w:t xml:space="preserve">Rademaker D, de Wit L, </w:t>
      </w:r>
      <w:proofErr w:type="spellStart"/>
      <w:r w:rsidRPr="00CC2A43">
        <w:rPr>
          <w:rFonts w:asciiTheme="majorBidi" w:hAnsiTheme="majorBidi" w:cstheme="majorBidi"/>
          <w:sz w:val="20"/>
          <w:szCs w:val="20"/>
          <w:lang w:val="en-US"/>
        </w:rPr>
        <w:t>Duijnhoven</w:t>
      </w:r>
      <w:proofErr w:type="spellEnd"/>
      <w:r w:rsidRPr="00CC2A43">
        <w:rPr>
          <w:rFonts w:asciiTheme="majorBidi" w:hAnsiTheme="majorBidi" w:cstheme="majorBidi"/>
          <w:sz w:val="20"/>
          <w:szCs w:val="20"/>
          <w:lang w:val="en-US"/>
        </w:rPr>
        <w:t xml:space="preserve"> RG, </w:t>
      </w:r>
      <w:proofErr w:type="spellStart"/>
      <w:r w:rsidRPr="00CC2A43">
        <w:rPr>
          <w:rFonts w:asciiTheme="majorBidi" w:hAnsiTheme="majorBidi" w:cstheme="majorBidi"/>
          <w:sz w:val="20"/>
          <w:szCs w:val="20"/>
          <w:lang w:val="en-US"/>
        </w:rPr>
        <w:t>Voormolen</w:t>
      </w:r>
      <w:proofErr w:type="spellEnd"/>
      <w:r w:rsidRPr="00CC2A43">
        <w:rPr>
          <w:rFonts w:asciiTheme="majorBidi" w:hAnsiTheme="majorBidi" w:cstheme="majorBidi"/>
          <w:sz w:val="20"/>
          <w:szCs w:val="20"/>
          <w:lang w:val="en-US"/>
        </w:rPr>
        <w:t xml:space="preserve"> DN, Mol BW, Franx A, et al. Oral Glucose-Lowering Agents vs Insulin for Gestational Diabetes: A Randomized Clinical Trial. Jama. 2025;333(6):470-8.</w:t>
      </w:r>
    </w:p>
    <w:p w14:paraId="4A8CC843"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7.</w:t>
      </w:r>
      <w:r w:rsidRPr="00CC2A43">
        <w:rPr>
          <w:rFonts w:asciiTheme="majorBidi" w:hAnsiTheme="majorBidi" w:cstheme="majorBidi"/>
          <w:sz w:val="20"/>
          <w:szCs w:val="20"/>
          <w:lang w:val="en-US"/>
        </w:rPr>
        <w:tab/>
        <w:t xml:space="preserve">Berti GN, Garcia IGO, de Toledo J, </w:t>
      </w:r>
      <w:proofErr w:type="spellStart"/>
      <w:r w:rsidRPr="00CC2A43">
        <w:rPr>
          <w:rFonts w:asciiTheme="majorBidi" w:hAnsiTheme="majorBidi" w:cstheme="majorBidi"/>
          <w:sz w:val="20"/>
          <w:szCs w:val="20"/>
          <w:lang w:val="en-US"/>
        </w:rPr>
        <w:t>Tatemoto</w:t>
      </w:r>
      <w:proofErr w:type="spellEnd"/>
      <w:r w:rsidRPr="00CC2A43">
        <w:rPr>
          <w:rFonts w:asciiTheme="majorBidi" w:hAnsiTheme="majorBidi" w:cstheme="majorBidi"/>
          <w:sz w:val="20"/>
          <w:szCs w:val="20"/>
          <w:lang w:val="en-US"/>
        </w:rPr>
        <w:t xml:space="preserve"> JR, Marino LW, </w:t>
      </w:r>
      <w:proofErr w:type="spellStart"/>
      <w:r w:rsidRPr="00CC2A43">
        <w:rPr>
          <w:rFonts w:asciiTheme="majorBidi" w:hAnsiTheme="majorBidi" w:cstheme="majorBidi"/>
          <w:sz w:val="20"/>
          <w:szCs w:val="20"/>
          <w:lang w:val="en-US"/>
        </w:rPr>
        <w:t>Legori</w:t>
      </w:r>
      <w:proofErr w:type="spellEnd"/>
      <w:r w:rsidRPr="00CC2A43">
        <w:rPr>
          <w:rFonts w:asciiTheme="majorBidi" w:hAnsiTheme="majorBidi" w:cstheme="majorBidi"/>
          <w:sz w:val="20"/>
          <w:szCs w:val="20"/>
          <w:lang w:val="en-US"/>
        </w:rPr>
        <w:t xml:space="preserve"> MM, et al. Metformin versus insulin in gestational diabetes mellitus: a systematic review. Rev Bras </w:t>
      </w:r>
      <w:proofErr w:type="spellStart"/>
      <w:r w:rsidRPr="00CC2A43">
        <w:rPr>
          <w:rFonts w:asciiTheme="majorBidi" w:hAnsiTheme="majorBidi" w:cstheme="majorBidi"/>
          <w:sz w:val="20"/>
          <w:szCs w:val="20"/>
          <w:lang w:val="en-US"/>
        </w:rPr>
        <w:t>Ginecol</w:t>
      </w:r>
      <w:proofErr w:type="spellEnd"/>
      <w:r w:rsidRPr="00CC2A43">
        <w:rPr>
          <w:rFonts w:asciiTheme="majorBidi" w:hAnsiTheme="majorBidi" w:cstheme="majorBidi"/>
          <w:sz w:val="20"/>
          <w:szCs w:val="20"/>
          <w:lang w:val="en-US"/>
        </w:rPr>
        <w:t xml:space="preserve"> Obstet. 2024;46.</w:t>
      </w:r>
    </w:p>
    <w:p w14:paraId="15EB9E64"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8.</w:t>
      </w:r>
      <w:r w:rsidRPr="00CC2A43">
        <w:rPr>
          <w:rFonts w:asciiTheme="majorBidi" w:hAnsiTheme="majorBidi" w:cstheme="majorBidi"/>
          <w:sz w:val="20"/>
          <w:szCs w:val="20"/>
          <w:lang w:val="en-US"/>
        </w:rPr>
        <w:tab/>
      </w:r>
      <w:proofErr w:type="spellStart"/>
      <w:r w:rsidRPr="00CC2A43">
        <w:rPr>
          <w:rFonts w:asciiTheme="majorBidi" w:hAnsiTheme="majorBidi" w:cstheme="majorBidi"/>
          <w:sz w:val="20"/>
          <w:szCs w:val="20"/>
          <w:lang w:val="en-US"/>
        </w:rPr>
        <w:t>Pourkarim</w:t>
      </w:r>
      <w:proofErr w:type="spellEnd"/>
      <w:r w:rsidRPr="00CC2A43">
        <w:rPr>
          <w:rFonts w:asciiTheme="majorBidi" w:hAnsiTheme="majorBidi" w:cstheme="majorBidi"/>
          <w:sz w:val="20"/>
          <w:szCs w:val="20"/>
          <w:lang w:val="en-US"/>
        </w:rPr>
        <w:t xml:space="preserve"> F, Entezari-Maleki T. Metformin Plus Insulin for Preexisting Diabetes or Gestational Diabetes in Pregnancy. Jama. 2024;331(17):1502.</w:t>
      </w:r>
    </w:p>
    <w:p w14:paraId="0B2812F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9.</w:t>
      </w:r>
      <w:r w:rsidRPr="00CC2A43">
        <w:rPr>
          <w:rFonts w:asciiTheme="majorBidi" w:hAnsiTheme="majorBidi" w:cstheme="majorBidi"/>
          <w:sz w:val="20"/>
          <w:szCs w:val="20"/>
          <w:lang w:val="en-US"/>
        </w:rPr>
        <w:tab/>
        <w:t xml:space="preserve">Petrie JR. Metformin beyond type 2 diabetes: Emerging and potential new indications. Diabetes </w:t>
      </w:r>
      <w:proofErr w:type="spellStart"/>
      <w:r w:rsidRPr="00CC2A43">
        <w:rPr>
          <w:rFonts w:asciiTheme="majorBidi" w:hAnsiTheme="majorBidi" w:cstheme="majorBidi"/>
          <w:sz w:val="20"/>
          <w:szCs w:val="20"/>
          <w:lang w:val="en-US"/>
        </w:rPr>
        <w:t>Obes</w:t>
      </w:r>
      <w:proofErr w:type="spellEnd"/>
      <w:r w:rsidRPr="00CC2A43">
        <w:rPr>
          <w:rFonts w:asciiTheme="majorBidi" w:hAnsiTheme="majorBidi" w:cstheme="majorBidi"/>
          <w:sz w:val="20"/>
          <w:szCs w:val="20"/>
          <w:lang w:val="en-US"/>
        </w:rPr>
        <w:t xml:space="preserve"> </w:t>
      </w:r>
      <w:proofErr w:type="spellStart"/>
      <w:r w:rsidRPr="00CC2A43">
        <w:rPr>
          <w:rFonts w:asciiTheme="majorBidi" w:hAnsiTheme="majorBidi" w:cstheme="majorBidi"/>
          <w:sz w:val="20"/>
          <w:szCs w:val="20"/>
          <w:lang w:val="en-US"/>
        </w:rPr>
        <w:t>Metab</w:t>
      </w:r>
      <w:proofErr w:type="spellEnd"/>
      <w:r w:rsidRPr="00CC2A43">
        <w:rPr>
          <w:rFonts w:asciiTheme="majorBidi" w:hAnsiTheme="majorBidi" w:cstheme="majorBidi"/>
          <w:sz w:val="20"/>
          <w:szCs w:val="20"/>
          <w:lang w:val="en-US"/>
        </w:rPr>
        <w:t>. 2024;26 Suppl 3:31-41.</w:t>
      </w:r>
    </w:p>
    <w:p w14:paraId="1B6C166D"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10.</w:t>
      </w:r>
      <w:r w:rsidRPr="00CC2A43">
        <w:rPr>
          <w:rFonts w:asciiTheme="majorBidi" w:hAnsiTheme="majorBidi" w:cstheme="majorBidi"/>
          <w:sz w:val="20"/>
          <w:szCs w:val="20"/>
          <w:lang w:val="en-US"/>
        </w:rPr>
        <w:tab/>
        <w:t xml:space="preserve">Benhalima K, </w:t>
      </w:r>
      <w:proofErr w:type="spellStart"/>
      <w:r w:rsidRPr="00CC2A43">
        <w:rPr>
          <w:rFonts w:asciiTheme="majorBidi" w:hAnsiTheme="majorBidi" w:cstheme="majorBidi"/>
          <w:sz w:val="20"/>
          <w:szCs w:val="20"/>
          <w:lang w:val="en-US"/>
        </w:rPr>
        <w:t>Beunen</w:t>
      </w:r>
      <w:proofErr w:type="spellEnd"/>
      <w:r w:rsidRPr="00CC2A43">
        <w:rPr>
          <w:rFonts w:asciiTheme="majorBidi" w:hAnsiTheme="majorBidi" w:cstheme="majorBidi"/>
          <w:sz w:val="20"/>
          <w:szCs w:val="20"/>
          <w:lang w:val="en-US"/>
        </w:rPr>
        <w:t xml:space="preserve"> K, </w:t>
      </w:r>
      <w:proofErr w:type="spellStart"/>
      <w:r w:rsidRPr="00CC2A43">
        <w:rPr>
          <w:rFonts w:asciiTheme="majorBidi" w:hAnsiTheme="majorBidi" w:cstheme="majorBidi"/>
          <w:sz w:val="20"/>
          <w:szCs w:val="20"/>
          <w:lang w:val="en-US"/>
        </w:rPr>
        <w:t>Siegelaar</w:t>
      </w:r>
      <w:proofErr w:type="spellEnd"/>
      <w:r w:rsidRPr="00CC2A43">
        <w:rPr>
          <w:rFonts w:asciiTheme="majorBidi" w:hAnsiTheme="majorBidi" w:cstheme="majorBidi"/>
          <w:sz w:val="20"/>
          <w:szCs w:val="20"/>
          <w:lang w:val="en-US"/>
        </w:rPr>
        <w:t xml:space="preserve"> SE, Painter R, Murphy HR, Feig DS, et al. Management of type 1 diabetes in pregnancy: update on lifestyle, pharmacological treatment, and novel technologies for achieving </w:t>
      </w:r>
      <w:proofErr w:type="spellStart"/>
      <w:r w:rsidRPr="00CC2A43">
        <w:rPr>
          <w:rFonts w:asciiTheme="majorBidi" w:hAnsiTheme="majorBidi" w:cstheme="majorBidi"/>
          <w:sz w:val="20"/>
          <w:szCs w:val="20"/>
          <w:lang w:val="en-US"/>
        </w:rPr>
        <w:t>glycaemic</w:t>
      </w:r>
      <w:proofErr w:type="spellEnd"/>
      <w:r w:rsidRPr="00CC2A43">
        <w:rPr>
          <w:rFonts w:asciiTheme="majorBidi" w:hAnsiTheme="majorBidi" w:cstheme="majorBidi"/>
          <w:sz w:val="20"/>
          <w:szCs w:val="20"/>
          <w:lang w:val="en-US"/>
        </w:rPr>
        <w:t xml:space="preserve"> targets. Lancet Diabetes Endocrinol. 2023;11(7):490-508.</w:t>
      </w:r>
    </w:p>
    <w:p w14:paraId="1CA509C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11.</w:t>
      </w:r>
      <w:r w:rsidRPr="00CC2A43">
        <w:rPr>
          <w:rFonts w:asciiTheme="majorBidi" w:hAnsiTheme="majorBidi" w:cstheme="majorBidi"/>
          <w:sz w:val="20"/>
          <w:szCs w:val="20"/>
          <w:lang w:val="en-US"/>
        </w:rPr>
        <w:tab/>
        <w:t xml:space="preserve">Pérez-Pérez A, </w:t>
      </w:r>
      <w:proofErr w:type="spellStart"/>
      <w:r w:rsidRPr="00CC2A43">
        <w:rPr>
          <w:rFonts w:asciiTheme="majorBidi" w:hAnsiTheme="majorBidi" w:cstheme="majorBidi"/>
          <w:sz w:val="20"/>
          <w:szCs w:val="20"/>
          <w:lang w:val="en-US"/>
        </w:rPr>
        <w:t>Vilariño</w:t>
      </w:r>
      <w:proofErr w:type="spellEnd"/>
      <w:r w:rsidRPr="00CC2A43">
        <w:rPr>
          <w:rFonts w:asciiTheme="majorBidi" w:hAnsiTheme="majorBidi" w:cstheme="majorBidi"/>
          <w:sz w:val="20"/>
          <w:szCs w:val="20"/>
          <w:lang w:val="en-US"/>
        </w:rPr>
        <w:t xml:space="preserve">-García T, </w:t>
      </w:r>
      <w:proofErr w:type="spellStart"/>
      <w:r w:rsidRPr="00CC2A43">
        <w:rPr>
          <w:rFonts w:asciiTheme="majorBidi" w:hAnsiTheme="majorBidi" w:cstheme="majorBidi"/>
          <w:sz w:val="20"/>
          <w:szCs w:val="20"/>
          <w:lang w:val="en-US"/>
        </w:rPr>
        <w:t>Guadix</w:t>
      </w:r>
      <w:proofErr w:type="spellEnd"/>
      <w:r w:rsidRPr="00CC2A43">
        <w:rPr>
          <w:rFonts w:asciiTheme="majorBidi" w:hAnsiTheme="majorBidi" w:cstheme="majorBidi"/>
          <w:sz w:val="20"/>
          <w:szCs w:val="20"/>
          <w:lang w:val="en-US"/>
        </w:rPr>
        <w:t xml:space="preserve"> P, Dueñas JL, Sánchez-</w:t>
      </w:r>
      <w:proofErr w:type="spellStart"/>
      <w:r w:rsidRPr="00CC2A43">
        <w:rPr>
          <w:rFonts w:asciiTheme="majorBidi" w:hAnsiTheme="majorBidi" w:cstheme="majorBidi"/>
          <w:sz w:val="20"/>
          <w:szCs w:val="20"/>
          <w:lang w:val="en-US"/>
        </w:rPr>
        <w:t>Margalet</w:t>
      </w:r>
      <w:proofErr w:type="spellEnd"/>
      <w:r w:rsidRPr="00CC2A43">
        <w:rPr>
          <w:rFonts w:asciiTheme="majorBidi" w:hAnsiTheme="majorBidi" w:cstheme="majorBidi"/>
          <w:sz w:val="20"/>
          <w:szCs w:val="20"/>
          <w:lang w:val="en-US"/>
        </w:rPr>
        <w:t xml:space="preserve"> V. Leptin and Nutrition in Gestational Diabetes. Nutrients. 2020;12(7).</w:t>
      </w:r>
    </w:p>
    <w:p w14:paraId="0274B0EC"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12.</w:t>
      </w:r>
      <w:r w:rsidRPr="00CC2A43">
        <w:rPr>
          <w:rFonts w:asciiTheme="majorBidi" w:hAnsiTheme="majorBidi" w:cstheme="majorBidi"/>
          <w:sz w:val="20"/>
          <w:szCs w:val="20"/>
          <w:lang w:val="en-US"/>
        </w:rPr>
        <w:tab/>
        <w:t xml:space="preserve">Chen X, Chen H, Wei F, Chen K. Global Research Trends in Gestational Diabetes Mellitus from 2000 to 2020: A Bibliometric Study. </w:t>
      </w:r>
      <w:proofErr w:type="spellStart"/>
      <w:r w:rsidRPr="00CC2A43">
        <w:rPr>
          <w:rFonts w:asciiTheme="majorBidi" w:hAnsiTheme="majorBidi" w:cstheme="majorBidi"/>
          <w:sz w:val="20"/>
          <w:szCs w:val="20"/>
          <w:lang w:val="en-US"/>
        </w:rPr>
        <w:t>Zeitschrift</w:t>
      </w:r>
      <w:proofErr w:type="spellEnd"/>
      <w:r w:rsidRPr="00CC2A43">
        <w:rPr>
          <w:rFonts w:asciiTheme="majorBidi" w:hAnsiTheme="majorBidi" w:cstheme="majorBidi"/>
          <w:sz w:val="20"/>
          <w:szCs w:val="20"/>
          <w:lang w:val="en-US"/>
        </w:rPr>
        <w:t xml:space="preserve"> fur </w:t>
      </w:r>
      <w:proofErr w:type="spellStart"/>
      <w:r w:rsidRPr="00CC2A43">
        <w:rPr>
          <w:rFonts w:asciiTheme="majorBidi" w:hAnsiTheme="majorBidi" w:cstheme="majorBidi"/>
          <w:sz w:val="20"/>
          <w:szCs w:val="20"/>
          <w:lang w:val="en-US"/>
        </w:rPr>
        <w:t>Geburtshilfe</w:t>
      </w:r>
      <w:proofErr w:type="spellEnd"/>
      <w:r w:rsidRPr="00CC2A43">
        <w:rPr>
          <w:rFonts w:asciiTheme="majorBidi" w:hAnsiTheme="majorBidi" w:cstheme="majorBidi"/>
          <w:sz w:val="20"/>
          <w:szCs w:val="20"/>
          <w:lang w:val="en-US"/>
        </w:rPr>
        <w:t xml:space="preserve"> und </w:t>
      </w:r>
      <w:proofErr w:type="spellStart"/>
      <w:r w:rsidRPr="00CC2A43">
        <w:rPr>
          <w:rFonts w:asciiTheme="majorBidi" w:hAnsiTheme="majorBidi" w:cstheme="majorBidi"/>
          <w:sz w:val="20"/>
          <w:szCs w:val="20"/>
          <w:lang w:val="en-US"/>
        </w:rPr>
        <w:t>Neonatologie</w:t>
      </w:r>
      <w:proofErr w:type="spellEnd"/>
      <w:r w:rsidRPr="00CC2A43">
        <w:rPr>
          <w:rFonts w:asciiTheme="majorBidi" w:hAnsiTheme="majorBidi" w:cstheme="majorBidi"/>
          <w:sz w:val="20"/>
          <w:szCs w:val="20"/>
          <w:lang w:val="en-US"/>
        </w:rPr>
        <w:t>. 2022.</w:t>
      </w:r>
    </w:p>
    <w:p w14:paraId="51B405DB"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13.</w:t>
      </w:r>
      <w:r w:rsidRPr="00CC2A43">
        <w:rPr>
          <w:rFonts w:asciiTheme="majorBidi" w:hAnsiTheme="majorBidi" w:cstheme="majorBidi"/>
          <w:sz w:val="20"/>
          <w:szCs w:val="20"/>
          <w:lang w:val="en-US"/>
        </w:rPr>
        <w:tab/>
        <w:t xml:space="preserve">Hakimi M, </w:t>
      </w:r>
      <w:proofErr w:type="spellStart"/>
      <w:r w:rsidRPr="00CC2A43">
        <w:rPr>
          <w:rFonts w:asciiTheme="majorBidi" w:hAnsiTheme="majorBidi" w:cstheme="majorBidi"/>
          <w:sz w:val="20"/>
          <w:szCs w:val="20"/>
          <w:lang w:val="en-US"/>
        </w:rPr>
        <w:t>Subarto</w:t>
      </w:r>
      <w:proofErr w:type="spellEnd"/>
      <w:r w:rsidRPr="00CC2A43">
        <w:rPr>
          <w:rFonts w:asciiTheme="majorBidi" w:hAnsiTheme="majorBidi" w:cstheme="majorBidi"/>
          <w:sz w:val="20"/>
          <w:szCs w:val="20"/>
          <w:lang w:val="en-US"/>
        </w:rPr>
        <w:t xml:space="preserve"> C, </w:t>
      </w:r>
      <w:proofErr w:type="spellStart"/>
      <w:r w:rsidRPr="00CC2A43">
        <w:rPr>
          <w:rFonts w:asciiTheme="majorBidi" w:hAnsiTheme="majorBidi" w:cstheme="majorBidi"/>
          <w:sz w:val="20"/>
          <w:szCs w:val="20"/>
          <w:lang w:val="en-US"/>
        </w:rPr>
        <w:t>Isnaeni</w:t>
      </w:r>
      <w:proofErr w:type="spellEnd"/>
      <w:r w:rsidRPr="00CC2A43">
        <w:rPr>
          <w:rFonts w:asciiTheme="majorBidi" w:hAnsiTheme="majorBidi" w:cstheme="majorBidi"/>
          <w:sz w:val="20"/>
          <w:szCs w:val="20"/>
          <w:lang w:val="en-US"/>
        </w:rPr>
        <w:t xml:space="preserve"> Y. Gestational diabetes mellitus: management during and after pregnancy - a systematic literature review. 2020;3:63-72.</w:t>
      </w:r>
    </w:p>
    <w:p w14:paraId="02517E47"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14.</w:t>
      </w:r>
      <w:r w:rsidRPr="00CC2A43">
        <w:rPr>
          <w:rFonts w:asciiTheme="majorBidi" w:hAnsiTheme="majorBidi" w:cstheme="majorBidi"/>
          <w:sz w:val="20"/>
          <w:szCs w:val="20"/>
          <w:lang w:val="en-US"/>
        </w:rPr>
        <w:tab/>
      </w:r>
      <w:proofErr w:type="spellStart"/>
      <w:r w:rsidRPr="00CC2A43">
        <w:rPr>
          <w:rFonts w:asciiTheme="majorBidi" w:hAnsiTheme="majorBidi" w:cstheme="majorBidi"/>
          <w:sz w:val="20"/>
          <w:szCs w:val="20"/>
          <w:lang w:val="en-US"/>
        </w:rPr>
        <w:t>Pigato</w:t>
      </w:r>
      <w:proofErr w:type="spellEnd"/>
      <w:r w:rsidRPr="00CC2A43">
        <w:rPr>
          <w:rFonts w:asciiTheme="majorBidi" w:hAnsiTheme="majorBidi" w:cstheme="majorBidi"/>
          <w:sz w:val="20"/>
          <w:szCs w:val="20"/>
          <w:lang w:val="en-US"/>
        </w:rPr>
        <w:t xml:space="preserve"> F, Candido R, Zanette G, Zamagni G, </w:t>
      </w:r>
      <w:proofErr w:type="spellStart"/>
      <w:r w:rsidRPr="00CC2A43">
        <w:rPr>
          <w:rFonts w:asciiTheme="majorBidi" w:hAnsiTheme="majorBidi" w:cstheme="majorBidi"/>
          <w:sz w:val="20"/>
          <w:szCs w:val="20"/>
          <w:lang w:val="en-US"/>
        </w:rPr>
        <w:t>Trojniak</w:t>
      </w:r>
      <w:proofErr w:type="spellEnd"/>
      <w:r w:rsidRPr="00CC2A43">
        <w:rPr>
          <w:rFonts w:asciiTheme="majorBidi" w:hAnsiTheme="majorBidi" w:cstheme="majorBidi"/>
          <w:sz w:val="20"/>
          <w:szCs w:val="20"/>
          <w:lang w:val="en-US"/>
        </w:rPr>
        <w:t xml:space="preserve"> MP, </w:t>
      </w:r>
      <w:proofErr w:type="spellStart"/>
      <w:r w:rsidRPr="00CC2A43">
        <w:rPr>
          <w:rFonts w:asciiTheme="majorBidi" w:hAnsiTheme="majorBidi" w:cstheme="majorBidi"/>
          <w:sz w:val="20"/>
          <w:szCs w:val="20"/>
          <w:lang w:val="en-US"/>
        </w:rPr>
        <w:t>Brunato</w:t>
      </w:r>
      <w:proofErr w:type="spellEnd"/>
      <w:r w:rsidRPr="00CC2A43">
        <w:rPr>
          <w:rFonts w:asciiTheme="majorBidi" w:hAnsiTheme="majorBidi" w:cstheme="majorBidi"/>
          <w:sz w:val="20"/>
          <w:szCs w:val="20"/>
          <w:lang w:val="en-US"/>
        </w:rPr>
        <w:t xml:space="preserve"> B, et al. Gestational diabetes mellitus: Impact of adherence on patient management and maternal-neonatal complications. Prim Care Diabetes. 2023;17(5):486-92.</w:t>
      </w:r>
    </w:p>
    <w:p w14:paraId="0B661A80"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15.</w:t>
      </w:r>
      <w:r w:rsidRPr="00CC2A43">
        <w:rPr>
          <w:rFonts w:asciiTheme="majorBidi" w:hAnsiTheme="majorBidi" w:cstheme="majorBidi"/>
          <w:sz w:val="20"/>
          <w:szCs w:val="20"/>
          <w:lang w:val="en-US"/>
        </w:rPr>
        <w:tab/>
        <w:t xml:space="preserve">Seely E, Zera C. Gestational Diabetes Mellitus. </w:t>
      </w:r>
      <w:proofErr w:type="spellStart"/>
      <w:r w:rsidRPr="00CC2A43">
        <w:rPr>
          <w:rFonts w:asciiTheme="majorBidi" w:hAnsiTheme="majorBidi" w:cstheme="majorBidi"/>
          <w:sz w:val="20"/>
          <w:szCs w:val="20"/>
          <w:lang w:val="en-US"/>
        </w:rPr>
        <w:t>DeckerMed</w:t>
      </w:r>
      <w:proofErr w:type="spellEnd"/>
      <w:r w:rsidRPr="00CC2A43">
        <w:rPr>
          <w:rFonts w:asciiTheme="majorBidi" w:hAnsiTheme="majorBidi" w:cstheme="majorBidi"/>
          <w:sz w:val="20"/>
          <w:szCs w:val="20"/>
          <w:lang w:val="en-US"/>
        </w:rPr>
        <w:t xml:space="preserve"> Medicine. 2020.</w:t>
      </w:r>
    </w:p>
    <w:p w14:paraId="6713568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16.</w:t>
      </w:r>
      <w:r w:rsidRPr="00CC2A43">
        <w:rPr>
          <w:rFonts w:asciiTheme="majorBidi" w:hAnsiTheme="majorBidi" w:cstheme="majorBidi"/>
          <w:sz w:val="20"/>
          <w:szCs w:val="20"/>
          <w:lang w:val="en-US"/>
        </w:rPr>
        <w:tab/>
        <w:t>Xie Y, Zhao H, Zhao M, Huang H, Liu C, Huang F, et al. Effects of resistance exercise on blood glucose level and pregnancy outcome in patients with gestational diabetes mellitus: a randomized controlled trial. BMJ Open Diabetes Res Care. 2022;10(2).</w:t>
      </w:r>
    </w:p>
    <w:p w14:paraId="6BEB4216"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17.</w:t>
      </w:r>
      <w:r w:rsidRPr="00CC2A43">
        <w:rPr>
          <w:rFonts w:asciiTheme="majorBidi" w:hAnsiTheme="majorBidi" w:cstheme="majorBidi"/>
          <w:sz w:val="20"/>
          <w:szCs w:val="20"/>
          <w:lang w:val="en-US"/>
        </w:rPr>
        <w:tab/>
        <w:t xml:space="preserve">Huifen Z, Yaping X, </w:t>
      </w:r>
      <w:proofErr w:type="spellStart"/>
      <w:r w:rsidRPr="00CC2A43">
        <w:rPr>
          <w:rFonts w:asciiTheme="majorBidi" w:hAnsiTheme="majorBidi" w:cstheme="majorBidi"/>
          <w:sz w:val="20"/>
          <w:szCs w:val="20"/>
          <w:lang w:val="en-US"/>
        </w:rPr>
        <w:t>Meijing</w:t>
      </w:r>
      <w:proofErr w:type="spellEnd"/>
      <w:r w:rsidRPr="00CC2A43">
        <w:rPr>
          <w:rFonts w:asciiTheme="majorBidi" w:hAnsiTheme="majorBidi" w:cstheme="majorBidi"/>
          <w:sz w:val="20"/>
          <w:szCs w:val="20"/>
          <w:lang w:val="en-US"/>
        </w:rPr>
        <w:t xml:space="preserve"> Z, </w:t>
      </w:r>
      <w:proofErr w:type="spellStart"/>
      <w:r w:rsidRPr="00CC2A43">
        <w:rPr>
          <w:rFonts w:asciiTheme="majorBidi" w:hAnsiTheme="majorBidi" w:cstheme="majorBidi"/>
          <w:sz w:val="20"/>
          <w:szCs w:val="20"/>
          <w:lang w:val="en-US"/>
        </w:rPr>
        <w:t>Huibin</w:t>
      </w:r>
      <w:proofErr w:type="spellEnd"/>
      <w:r w:rsidRPr="00CC2A43">
        <w:rPr>
          <w:rFonts w:asciiTheme="majorBidi" w:hAnsiTheme="majorBidi" w:cstheme="majorBidi"/>
          <w:sz w:val="20"/>
          <w:szCs w:val="20"/>
          <w:lang w:val="en-US"/>
        </w:rPr>
        <w:t xml:space="preserve"> H, </w:t>
      </w:r>
      <w:proofErr w:type="spellStart"/>
      <w:r w:rsidRPr="00CC2A43">
        <w:rPr>
          <w:rFonts w:asciiTheme="majorBidi" w:hAnsiTheme="majorBidi" w:cstheme="majorBidi"/>
          <w:sz w:val="20"/>
          <w:szCs w:val="20"/>
          <w:lang w:val="en-US"/>
        </w:rPr>
        <w:t>Chunhong</w:t>
      </w:r>
      <w:proofErr w:type="spellEnd"/>
      <w:r w:rsidRPr="00CC2A43">
        <w:rPr>
          <w:rFonts w:asciiTheme="majorBidi" w:hAnsiTheme="majorBidi" w:cstheme="majorBidi"/>
          <w:sz w:val="20"/>
          <w:szCs w:val="20"/>
          <w:lang w:val="en-US"/>
        </w:rPr>
        <w:t xml:space="preserve"> L, </w:t>
      </w:r>
      <w:proofErr w:type="spellStart"/>
      <w:r w:rsidRPr="00CC2A43">
        <w:rPr>
          <w:rFonts w:asciiTheme="majorBidi" w:hAnsiTheme="majorBidi" w:cstheme="majorBidi"/>
          <w:sz w:val="20"/>
          <w:szCs w:val="20"/>
          <w:lang w:val="en-US"/>
        </w:rPr>
        <w:t>Fengfeng</w:t>
      </w:r>
      <w:proofErr w:type="spellEnd"/>
      <w:r w:rsidRPr="00CC2A43">
        <w:rPr>
          <w:rFonts w:asciiTheme="majorBidi" w:hAnsiTheme="majorBidi" w:cstheme="majorBidi"/>
          <w:sz w:val="20"/>
          <w:szCs w:val="20"/>
          <w:lang w:val="en-US"/>
        </w:rPr>
        <w:t xml:space="preserve"> H, et al. Effects of moderate-intensity resistance exercise on blood glucose and pregnancy outcome in patients with gestational diabetes mellitus: A randomized controlled trial. J Diabetes Complications. 2022;36(5):108186.</w:t>
      </w:r>
    </w:p>
    <w:p w14:paraId="3B533ABB"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18.</w:t>
      </w:r>
      <w:r w:rsidRPr="00CC2A43">
        <w:rPr>
          <w:rFonts w:asciiTheme="majorBidi" w:hAnsiTheme="majorBidi" w:cstheme="majorBidi"/>
          <w:sz w:val="20"/>
          <w:szCs w:val="20"/>
          <w:lang w:val="en-US"/>
        </w:rPr>
        <w:tab/>
        <w:t>Paulsen CP, Bandak E, Edemann-Callesen H, Juhl CB, Händel MN. The Effects of Exercise during Pregnancy on Gestational Diabetes Mellitus, Preeclampsia, and Spontaneous Abortion among Healthy Women-A Systematic Review and Meta-Analysis. Int J Environ Res Public Health. 2023;20(12).</w:t>
      </w:r>
    </w:p>
    <w:p w14:paraId="0300F1C7"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19.</w:t>
      </w:r>
      <w:r w:rsidRPr="00CC2A43">
        <w:rPr>
          <w:rFonts w:asciiTheme="majorBidi" w:hAnsiTheme="majorBidi" w:cstheme="majorBidi"/>
          <w:sz w:val="20"/>
          <w:szCs w:val="20"/>
          <w:lang w:val="en-US"/>
        </w:rPr>
        <w:tab/>
        <w:t xml:space="preserve">Zhang L, Wang F, Tashiro S, Liu PJ. Effects of Dietary Approaches and Exercise Interventions on Gestational Diabetes Mellitus: A Systematic Review and Bayesian Network Meta-analysis. Adv </w:t>
      </w:r>
      <w:proofErr w:type="spellStart"/>
      <w:r w:rsidRPr="00CC2A43">
        <w:rPr>
          <w:rFonts w:asciiTheme="majorBidi" w:hAnsiTheme="majorBidi" w:cstheme="majorBidi"/>
          <w:sz w:val="20"/>
          <w:szCs w:val="20"/>
          <w:lang w:val="en-US"/>
        </w:rPr>
        <w:t>Nutr</w:t>
      </w:r>
      <w:proofErr w:type="spellEnd"/>
      <w:r w:rsidRPr="00CC2A43">
        <w:rPr>
          <w:rFonts w:asciiTheme="majorBidi" w:hAnsiTheme="majorBidi" w:cstheme="majorBidi"/>
          <w:sz w:val="20"/>
          <w:szCs w:val="20"/>
          <w:lang w:val="en-US"/>
        </w:rPr>
        <w:t>. 2024;15(12):100330.</w:t>
      </w:r>
    </w:p>
    <w:p w14:paraId="56480A9A"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lastRenderedPageBreak/>
        <w:t>20.</w:t>
      </w:r>
      <w:r w:rsidRPr="00CC2A43">
        <w:rPr>
          <w:rFonts w:asciiTheme="majorBidi" w:hAnsiTheme="majorBidi" w:cstheme="majorBidi"/>
          <w:sz w:val="20"/>
          <w:szCs w:val="20"/>
          <w:lang w:val="en-US"/>
        </w:rPr>
        <w:tab/>
        <w:t>Rasmussen L, Poulsen CW, Kampmann U, Smedegaard SB, Ovesen PG, Fuglsang J. Diet and Healthy Lifestyle in the Management of Gestational Diabetes Mellitus. Nutrients. 2020;12(10).</w:t>
      </w:r>
    </w:p>
    <w:p w14:paraId="24CB8F57"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21.</w:t>
      </w:r>
      <w:r w:rsidRPr="00CC2A43">
        <w:rPr>
          <w:rFonts w:asciiTheme="majorBidi" w:hAnsiTheme="majorBidi" w:cstheme="majorBidi"/>
          <w:sz w:val="20"/>
          <w:szCs w:val="20"/>
          <w:lang w:val="en-US"/>
        </w:rPr>
        <w:tab/>
        <w:t xml:space="preserve">Rademaker D, van der Wel AWT, van </w:t>
      </w:r>
      <w:proofErr w:type="spellStart"/>
      <w:r w:rsidRPr="00CC2A43">
        <w:rPr>
          <w:rFonts w:asciiTheme="majorBidi" w:hAnsiTheme="majorBidi" w:cstheme="majorBidi"/>
          <w:sz w:val="20"/>
          <w:szCs w:val="20"/>
          <w:lang w:val="en-US"/>
        </w:rPr>
        <w:t>Eekelen</w:t>
      </w:r>
      <w:proofErr w:type="spellEnd"/>
      <w:r w:rsidRPr="00CC2A43">
        <w:rPr>
          <w:rFonts w:asciiTheme="majorBidi" w:hAnsiTheme="majorBidi" w:cstheme="majorBidi"/>
          <w:sz w:val="20"/>
          <w:szCs w:val="20"/>
          <w:lang w:val="en-US"/>
        </w:rPr>
        <w:t xml:space="preserve"> R, </w:t>
      </w:r>
      <w:proofErr w:type="spellStart"/>
      <w:r w:rsidRPr="00CC2A43">
        <w:rPr>
          <w:rFonts w:asciiTheme="majorBidi" w:hAnsiTheme="majorBidi" w:cstheme="majorBidi"/>
          <w:sz w:val="20"/>
          <w:szCs w:val="20"/>
          <w:lang w:val="en-US"/>
        </w:rPr>
        <w:t>Voormolen</w:t>
      </w:r>
      <w:proofErr w:type="spellEnd"/>
      <w:r w:rsidRPr="00CC2A43">
        <w:rPr>
          <w:rFonts w:asciiTheme="majorBidi" w:hAnsiTheme="majorBidi" w:cstheme="majorBidi"/>
          <w:sz w:val="20"/>
          <w:szCs w:val="20"/>
          <w:lang w:val="en-US"/>
        </w:rPr>
        <w:t xml:space="preserve"> DN, de Valk HW, Evers IM, et al. Continuous glucose monitoring metrics and pregnancy outcomes in insulin-treated diabetes: A post-hoc analysis of the </w:t>
      </w:r>
      <w:proofErr w:type="spellStart"/>
      <w:r w:rsidRPr="00CC2A43">
        <w:rPr>
          <w:rFonts w:asciiTheme="majorBidi" w:hAnsiTheme="majorBidi" w:cstheme="majorBidi"/>
          <w:sz w:val="20"/>
          <w:szCs w:val="20"/>
          <w:lang w:val="en-US"/>
        </w:rPr>
        <w:t>GlucoMOMS</w:t>
      </w:r>
      <w:proofErr w:type="spellEnd"/>
      <w:r w:rsidRPr="00CC2A43">
        <w:rPr>
          <w:rFonts w:asciiTheme="majorBidi" w:hAnsiTheme="majorBidi" w:cstheme="majorBidi"/>
          <w:sz w:val="20"/>
          <w:szCs w:val="20"/>
          <w:lang w:val="en-US"/>
        </w:rPr>
        <w:t xml:space="preserve"> trial. Diabetes </w:t>
      </w:r>
      <w:proofErr w:type="spellStart"/>
      <w:r w:rsidRPr="00CC2A43">
        <w:rPr>
          <w:rFonts w:asciiTheme="majorBidi" w:hAnsiTheme="majorBidi" w:cstheme="majorBidi"/>
          <w:sz w:val="20"/>
          <w:szCs w:val="20"/>
          <w:lang w:val="en-US"/>
        </w:rPr>
        <w:t>Obes</w:t>
      </w:r>
      <w:proofErr w:type="spellEnd"/>
      <w:r w:rsidRPr="00CC2A43">
        <w:rPr>
          <w:rFonts w:asciiTheme="majorBidi" w:hAnsiTheme="majorBidi" w:cstheme="majorBidi"/>
          <w:sz w:val="20"/>
          <w:szCs w:val="20"/>
          <w:lang w:val="en-US"/>
        </w:rPr>
        <w:t xml:space="preserve"> </w:t>
      </w:r>
      <w:proofErr w:type="spellStart"/>
      <w:r w:rsidRPr="00CC2A43">
        <w:rPr>
          <w:rFonts w:asciiTheme="majorBidi" w:hAnsiTheme="majorBidi" w:cstheme="majorBidi"/>
          <w:sz w:val="20"/>
          <w:szCs w:val="20"/>
          <w:lang w:val="en-US"/>
        </w:rPr>
        <w:t>Metab</w:t>
      </w:r>
      <w:proofErr w:type="spellEnd"/>
      <w:r w:rsidRPr="00CC2A43">
        <w:rPr>
          <w:rFonts w:asciiTheme="majorBidi" w:hAnsiTheme="majorBidi" w:cstheme="majorBidi"/>
          <w:sz w:val="20"/>
          <w:szCs w:val="20"/>
          <w:lang w:val="en-US"/>
        </w:rPr>
        <w:t>. 2023;25(12):3798-806.</w:t>
      </w:r>
    </w:p>
    <w:p w14:paraId="3046BB79"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22.</w:t>
      </w:r>
      <w:r w:rsidRPr="00CC2A43">
        <w:rPr>
          <w:rFonts w:asciiTheme="majorBidi" w:hAnsiTheme="majorBidi" w:cstheme="majorBidi"/>
          <w:sz w:val="20"/>
          <w:szCs w:val="20"/>
          <w:lang w:val="en-US"/>
        </w:rPr>
        <w:tab/>
        <w:t>Xu H, Liu R. Comprehensive management of gestational diabetes mellitus: practical efficacy of exercise therapy and sustained intervention strategies. Front Endocrinol (Lausanne). 2024;15:1347754.</w:t>
      </w:r>
    </w:p>
    <w:p w14:paraId="2492D3A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23.</w:t>
      </w:r>
      <w:r w:rsidRPr="00CC2A43">
        <w:rPr>
          <w:rFonts w:asciiTheme="majorBidi" w:hAnsiTheme="majorBidi" w:cstheme="majorBidi"/>
          <w:sz w:val="20"/>
          <w:szCs w:val="20"/>
          <w:lang w:val="en-US"/>
        </w:rPr>
        <w:tab/>
        <w:t xml:space="preserve">Yang X, Han R, Xiang Z, Li H, Zhao Q, Chen L, et al. Clinical practice guidelines on physical activity and exercise for pregnant women with gestational diabetes mellitus: A systematic review. Int J Nurs </w:t>
      </w:r>
      <w:proofErr w:type="spellStart"/>
      <w:r w:rsidRPr="00CC2A43">
        <w:rPr>
          <w:rFonts w:asciiTheme="majorBidi" w:hAnsiTheme="majorBidi" w:cstheme="majorBidi"/>
          <w:sz w:val="20"/>
          <w:szCs w:val="20"/>
          <w:lang w:val="en-US"/>
        </w:rPr>
        <w:t>Pract</w:t>
      </w:r>
      <w:proofErr w:type="spellEnd"/>
      <w:r w:rsidRPr="00CC2A43">
        <w:rPr>
          <w:rFonts w:asciiTheme="majorBidi" w:hAnsiTheme="majorBidi" w:cstheme="majorBidi"/>
          <w:sz w:val="20"/>
          <w:szCs w:val="20"/>
          <w:lang w:val="en-US"/>
        </w:rPr>
        <w:t>. 2023;29(6):e13141.</w:t>
      </w:r>
    </w:p>
    <w:p w14:paraId="2FCE2DBF"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24.</w:t>
      </w:r>
      <w:r w:rsidRPr="00CC2A43">
        <w:rPr>
          <w:rFonts w:asciiTheme="majorBidi" w:hAnsiTheme="majorBidi" w:cstheme="majorBidi"/>
          <w:sz w:val="20"/>
          <w:szCs w:val="20"/>
          <w:lang w:val="en-US"/>
        </w:rPr>
        <w:tab/>
        <w:t xml:space="preserve">Xu J, Wang H, Bian J, Xu M, Jiang N, Luo W, et al. Association between the Maternal Mediterranean Diet and Perinatal Outcomes: A Systematic Review and Meta-Analysis. Adv </w:t>
      </w:r>
      <w:proofErr w:type="spellStart"/>
      <w:r w:rsidRPr="00CC2A43">
        <w:rPr>
          <w:rFonts w:asciiTheme="majorBidi" w:hAnsiTheme="majorBidi" w:cstheme="majorBidi"/>
          <w:sz w:val="20"/>
          <w:szCs w:val="20"/>
          <w:lang w:val="en-US"/>
        </w:rPr>
        <w:t>Nutr</w:t>
      </w:r>
      <w:proofErr w:type="spellEnd"/>
      <w:r w:rsidRPr="00CC2A43">
        <w:rPr>
          <w:rFonts w:asciiTheme="majorBidi" w:hAnsiTheme="majorBidi" w:cstheme="majorBidi"/>
          <w:sz w:val="20"/>
          <w:szCs w:val="20"/>
          <w:lang w:val="en-US"/>
        </w:rPr>
        <w:t>. 2024;15(2):100159.</w:t>
      </w:r>
    </w:p>
    <w:p w14:paraId="13BDB2D5" w14:textId="77777777" w:rsidR="00CC2A43" w:rsidRPr="00CC2A43" w:rsidRDefault="00CC2A43" w:rsidP="00CC2A4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25.</w:t>
      </w:r>
      <w:r w:rsidRPr="00CC2A43">
        <w:rPr>
          <w:rFonts w:asciiTheme="majorBidi" w:hAnsiTheme="majorBidi" w:cstheme="majorBidi"/>
          <w:sz w:val="20"/>
          <w:szCs w:val="20"/>
          <w:lang w:val="en-US"/>
        </w:rPr>
        <w:tab/>
      </w:r>
      <w:proofErr w:type="spellStart"/>
      <w:r w:rsidRPr="00CC2A43">
        <w:rPr>
          <w:rFonts w:asciiTheme="majorBidi" w:hAnsiTheme="majorBidi" w:cstheme="majorBidi"/>
          <w:sz w:val="20"/>
          <w:szCs w:val="20"/>
          <w:lang w:val="en-US"/>
        </w:rPr>
        <w:t>Kanawade</w:t>
      </w:r>
      <w:proofErr w:type="spellEnd"/>
      <w:r w:rsidRPr="00CC2A43">
        <w:rPr>
          <w:rFonts w:asciiTheme="majorBidi" w:hAnsiTheme="majorBidi" w:cstheme="majorBidi"/>
          <w:sz w:val="20"/>
          <w:szCs w:val="20"/>
          <w:lang w:val="en-US"/>
        </w:rPr>
        <w:t xml:space="preserve"> S, </w:t>
      </w:r>
      <w:proofErr w:type="spellStart"/>
      <w:r w:rsidRPr="00CC2A43">
        <w:rPr>
          <w:rFonts w:asciiTheme="majorBidi" w:hAnsiTheme="majorBidi" w:cstheme="majorBidi"/>
          <w:sz w:val="20"/>
          <w:szCs w:val="20"/>
          <w:lang w:val="en-US"/>
        </w:rPr>
        <w:t>Vikhe</w:t>
      </w:r>
      <w:proofErr w:type="spellEnd"/>
      <w:r w:rsidRPr="00CC2A43">
        <w:rPr>
          <w:rFonts w:asciiTheme="majorBidi" w:hAnsiTheme="majorBidi" w:cstheme="majorBidi"/>
          <w:sz w:val="20"/>
          <w:szCs w:val="20"/>
          <w:lang w:val="en-US"/>
        </w:rPr>
        <w:t xml:space="preserve"> C, </w:t>
      </w:r>
      <w:proofErr w:type="spellStart"/>
      <w:r w:rsidRPr="00CC2A43">
        <w:rPr>
          <w:rFonts w:asciiTheme="majorBidi" w:hAnsiTheme="majorBidi" w:cstheme="majorBidi"/>
          <w:sz w:val="20"/>
          <w:szCs w:val="20"/>
          <w:lang w:val="en-US"/>
        </w:rPr>
        <w:t>Patare</w:t>
      </w:r>
      <w:proofErr w:type="spellEnd"/>
      <w:r w:rsidRPr="00CC2A43">
        <w:rPr>
          <w:rFonts w:asciiTheme="majorBidi" w:hAnsiTheme="majorBidi" w:cstheme="majorBidi"/>
          <w:sz w:val="20"/>
          <w:szCs w:val="20"/>
          <w:lang w:val="en-US"/>
        </w:rPr>
        <w:t xml:space="preserve"> V, Pawar H. Advances in Understanding and Managing Gestational Diabetes Mellitus: A Comprehensive Review. Research Journal of Pharmacology and Pharmacodynamics. 2024.</w:t>
      </w:r>
    </w:p>
    <w:p w14:paraId="208DE538" w14:textId="166A53CE" w:rsidR="00C054BB" w:rsidRDefault="00CC2A43" w:rsidP="00762C93">
      <w:pPr>
        <w:spacing w:after="120" w:line="276" w:lineRule="auto"/>
        <w:jc w:val="both"/>
        <w:rPr>
          <w:rFonts w:asciiTheme="majorBidi" w:hAnsiTheme="majorBidi" w:cstheme="majorBidi"/>
          <w:sz w:val="20"/>
          <w:szCs w:val="20"/>
          <w:lang w:val="en-US"/>
        </w:rPr>
      </w:pPr>
      <w:r w:rsidRPr="00CC2A43">
        <w:rPr>
          <w:rFonts w:asciiTheme="majorBidi" w:hAnsiTheme="majorBidi" w:cstheme="majorBidi"/>
          <w:sz w:val="20"/>
          <w:szCs w:val="20"/>
          <w:lang w:val="en-US"/>
        </w:rPr>
        <w:t>26.</w:t>
      </w:r>
      <w:r w:rsidRPr="00CC2A43">
        <w:rPr>
          <w:rFonts w:asciiTheme="majorBidi" w:hAnsiTheme="majorBidi" w:cstheme="majorBidi"/>
          <w:sz w:val="20"/>
          <w:szCs w:val="20"/>
          <w:lang w:val="en-US"/>
        </w:rPr>
        <w:tab/>
        <w:t xml:space="preserve">Keating N, Coveney C, McAuliffe FM, Higgins MF. Aerobic or Resistance Exercise for Improved </w:t>
      </w:r>
      <w:proofErr w:type="spellStart"/>
      <w:r w:rsidRPr="00CC2A43">
        <w:rPr>
          <w:rFonts w:asciiTheme="majorBidi" w:hAnsiTheme="majorBidi" w:cstheme="majorBidi"/>
          <w:sz w:val="20"/>
          <w:szCs w:val="20"/>
          <w:lang w:val="en-US"/>
        </w:rPr>
        <w:t>Glycaemic</w:t>
      </w:r>
      <w:proofErr w:type="spellEnd"/>
      <w:r w:rsidRPr="00CC2A43">
        <w:rPr>
          <w:rFonts w:asciiTheme="majorBidi" w:hAnsiTheme="majorBidi" w:cstheme="majorBidi"/>
          <w:sz w:val="20"/>
          <w:szCs w:val="20"/>
          <w:lang w:val="en-US"/>
        </w:rPr>
        <w:t xml:space="preserve"> Control and Pregnancy Outcomes in Women with Gestational Diabetes Mellitus: A Systematic Review. Int J Environ Res Public Health. 2022;19(17).</w:t>
      </w:r>
    </w:p>
    <w:sectPr w:rsidR="00C054BB" w:rsidSect="00870ADB">
      <w:type w:val="continuous"/>
      <w:pgSz w:w="12240" w:h="15840"/>
      <w:pgMar w:top="1890" w:right="720" w:bottom="720" w:left="720" w:header="720" w:footer="17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6E090" w14:textId="77777777" w:rsidR="00660889" w:rsidRDefault="00660889" w:rsidP="004005DA">
      <w:pPr>
        <w:spacing w:after="0" w:line="240" w:lineRule="auto"/>
      </w:pPr>
      <w:r>
        <w:separator/>
      </w:r>
    </w:p>
  </w:endnote>
  <w:endnote w:type="continuationSeparator" w:id="0">
    <w:p w14:paraId="146A5A99" w14:textId="77777777" w:rsidR="00660889" w:rsidRDefault="00660889" w:rsidP="0040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4A96" w14:textId="1320513A" w:rsidR="00C87272" w:rsidRDefault="00C87272" w:rsidP="0074732A">
    <w:pPr>
      <w:pStyle w:val="Footer"/>
      <w:rPr>
        <w:rFonts w:ascii="Times New Roman" w:hAnsi="Times New Roman" w:cs="Times New Roman"/>
        <w:color w:val="275317" w:themeColor="accent6" w:themeShade="80"/>
        <w:sz w:val="16"/>
        <w:szCs w:val="16"/>
      </w:rPr>
    </w:pPr>
    <w:r>
      <w:rPr>
        <w:rFonts w:ascii="Times New Roman" w:hAnsi="Times New Roman" w:cs="Times New Roman"/>
        <w:color w:val="275317" w:themeColor="accent6" w:themeShade="80"/>
        <w:sz w:val="16"/>
        <w:szCs w:val="16"/>
      </w:rPr>
      <w:t>----------------------------------------------------------------------------------------------------------------------------------------------------------------------------------------------------------</w:t>
    </w:r>
  </w:p>
  <w:p w14:paraId="30305940" w14:textId="72E79F1F" w:rsidR="004005DA" w:rsidRPr="005D08CE" w:rsidRDefault="00472F5B" w:rsidP="0074732A">
    <w:pPr>
      <w:pStyle w:val="Footer"/>
      <w:rPr>
        <w:rFonts w:ascii="Times New Roman" w:hAnsi="Times New Roman" w:cs="Times New Roman"/>
        <w:color w:val="275317" w:themeColor="accent6" w:themeShade="80"/>
        <w:sz w:val="16"/>
        <w:szCs w:val="16"/>
      </w:rPr>
    </w:pPr>
    <w:r w:rsidRPr="002740C6">
      <w:rPr>
        <w:rFonts w:ascii="Times New Roman" w:hAnsi="Times New Roman" w:cs="Times New Roman"/>
        <w:color w:val="275317" w:themeColor="accent6" w:themeShade="80"/>
        <w:sz w:val="16"/>
        <w:szCs w:val="16"/>
      </w:rPr>
      <w:t>© 202</w:t>
    </w:r>
    <w:r w:rsidR="00BE1FEA">
      <w:rPr>
        <w:rFonts w:ascii="Times New Roman" w:hAnsi="Times New Roman" w:cs="Times New Roman"/>
        <w:color w:val="275317" w:themeColor="accent6" w:themeShade="80"/>
        <w:sz w:val="16"/>
        <w:szCs w:val="16"/>
      </w:rPr>
      <w:t>5</w:t>
    </w:r>
    <w:r w:rsidRPr="002740C6">
      <w:rPr>
        <w:rFonts w:ascii="Times New Roman" w:hAnsi="Times New Roman" w:cs="Times New Roman"/>
        <w:color w:val="275317" w:themeColor="accent6" w:themeShade="80"/>
        <w:sz w:val="16"/>
        <w:szCs w:val="16"/>
      </w:rPr>
      <w:t xml:space="preserve"> et al. Open access under CC BY License (Creative Commons). Freely distributable with appropriate citation.</w:t>
    </w:r>
    <w:r w:rsidR="00F0370E">
      <w:rPr>
        <w:rFonts w:ascii="Times New Roman" w:hAnsi="Times New Roman" w:cs="Times New Roman"/>
        <w:color w:val="275317" w:themeColor="accent6" w:themeShade="80"/>
        <w:sz w:val="16"/>
        <w:szCs w:val="16"/>
      </w:rPr>
      <w:tab/>
    </w:r>
    <w:r w:rsidRPr="002740C6">
      <w:rPr>
        <w:rFonts w:ascii="Times New Roman" w:hAnsi="Times New Roman" w:cs="Times New Roman"/>
        <w:noProof/>
        <w:color w:val="275317" w:themeColor="accent6" w:themeShade="80"/>
        <w:sz w:val="16"/>
        <w:szCs w:val="16"/>
      </w:rPr>
      <w:t xml:space="preserve">     </w:t>
    </w:r>
    <w:r w:rsidR="00F0370E">
      <w:rPr>
        <w:rFonts w:ascii="Times New Roman" w:hAnsi="Times New Roman" w:cs="Times New Roman"/>
        <w:noProof/>
        <w:color w:val="275317" w:themeColor="accent6" w:themeShade="80"/>
        <w:sz w:val="16"/>
        <w:szCs w:val="16"/>
      </w:rPr>
      <w:tab/>
    </w:r>
    <w:r w:rsidRPr="002740C6">
      <w:rPr>
        <w:rFonts w:ascii="Times New Roman" w:hAnsi="Times New Roman" w:cs="Times New Roman"/>
        <w:noProof/>
        <w:color w:val="275317" w:themeColor="accent6" w:themeShade="80"/>
        <w:sz w:val="16"/>
        <w:szCs w:val="16"/>
      </w:rPr>
      <w:t xml:space="preserve">          </w:t>
    </w:r>
    <w:sdt>
      <w:sdtPr>
        <w:rPr>
          <w:rFonts w:ascii="Times New Roman" w:hAnsi="Times New Roman" w:cs="Times New Roman"/>
          <w:color w:val="275317" w:themeColor="accent6" w:themeShade="80"/>
          <w:sz w:val="16"/>
          <w:szCs w:val="16"/>
        </w:rPr>
        <w:id w:val="1629740505"/>
        <w:docPartObj>
          <w:docPartGallery w:val="Page Numbers (Bottom of Page)"/>
          <w:docPartUnique/>
        </w:docPartObj>
      </w:sdtPr>
      <w:sdtEndPr>
        <w:rPr>
          <w:noProof/>
        </w:rPr>
      </w:sdtEndPr>
      <w:sdtContent>
        <w:r w:rsidR="00922794" w:rsidRPr="005D08CE">
          <w:rPr>
            <w:rFonts w:ascii="Times New Roman" w:hAnsi="Times New Roman" w:cs="Times New Roman"/>
            <w:color w:val="275317" w:themeColor="accent6" w:themeShade="80"/>
            <w:sz w:val="16"/>
            <w:szCs w:val="16"/>
          </w:rPr>
          <w:fldChar w:fldCharType="begin"/>
        </w:r>
        <w:r w:rsidR="00922794" w:rsidRPr="005D08CE">
          <w:rPr>
            <w:rFonts w:ascii="Times New Roman" w:hAnsi="Times New Roman" w:cs="Times New Roman"/>
            <w:color w:val="275317" w:themeColor="accent6" w:themeShade="80"/>
            <w:sz w:val="16"/>
            <w:szCs w:val="16"/>
          </w:rPr>
          <w:instrText xml:space="preserve"> PAGE   \* MERGEFORMAT </w:instrText>
        </w:r>
        <w:r w:rsidR="00922794" w:rsidRPr="005D08CE">
          <w:rPr>
            <w:rFonts w:ascii="Times New Roman" w:hAnsi="Times New Roman" w:cs="Times New Roman"/>
            <w:color w:val="275317" w:themeColor="accent6" w:themeShade="80"/>
            <w:sz w:val="16"/>
            <w:szCs w:val="16"/>
          </w:rPr>
          <w:fldChar w:fldCharType="separate"/>
        </w:r>
        <w:r w:rsidR="00922794" w:rsidRPr="005D08CE">
          <w:rPr>
            <w:rFonts w:ascii="Times New Roman" w:hAnsi="Times New Roman" w:cs="Times New Roman"/>
            <w:noProof/>
            <w:color w:val="275317" w:themeColor="accent6" w:themeShade="80"/>
            <w:sz w:val="16"/>
            <w:szCs w:val="16"/>
          </w:rPr>
          <w:t>2</w:t>
        </w:r>
        <w:r w:rsidR="00922794" w:rsidRPr="005D08CE">
          <w:rPr>
            <w:rFonts w:ascii="Times New Roman" w:hAnsi="Times New Roman" w:cs="Times New Roman"/>
            <w:noProof/>
            <w:color w:val="275317" w:themeColor="accent6" w:themeShade="80"/>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D994" w14:textId="77777777" w:rsidR="00381628" w:rsidRDefault="00381628" w:rsidP="00A30AB1">
    <w:pPr>
      <w:pStyle w:val="Footer"/>
      <w:jc w:val="right"/>
      <w:rPr>
        <w:rFonts w:ascii="Times New Roman" w:hAnsi="Times New Roman" w:cs="Times New Roman"/>
        <w:color w:val="275317" w:themeColor="accent6" w:themeShade="80"/>
        <w:sz w:val="16"/>
        <w:szCs w:val="16"/>
      </w:rPr>
    </w:pPr>
  </w:p>
  <w:p w14:paraId="7ABC1E73" w14:textId="44CFC6F7" w:rsidR="00A30AB1" w:rsidRPr="002740C6" w:rsidRDefault="00A30AB1" w:rsidP="00A30AB1">
    <w:pPr>
      <w:pStyle w:val="Footer"/>
      <w:jc w:val="right"/>
      <w:rPr>
        <w:rFonts w:ascii="Times New Roman" w:hAnsi="Times New Roman" w:cs="Times New Roman"/>
        <w:color w:val="275317" w:themeColor="accent6" w:themeShade="80"/>
        <w:sz w:val="16"/>
        <w:szCs w:val="16"/>
      </w:rPr>
    </w:pPr>
    <w:r w:rsidRPr="002740C6">
      <w:rPr>
        <w:rFonts w:ascii="Times New Roman" w:hAnsi="Times New Roman" w:cs="Times New Roman"/>
        <w:color w:val="275317" w:themeColor="accent6" w:themeShade="80"/>
        <w:sz w:val="16"/>
        <w:szCs w:val="16"/>
      </w:rPr>
      <w:t>_______________________________________________________________________________________________________________________________________</w:t>
    </w:r>
  </w:p>
  <w:p w14:paraId="06F869AE" w14:textId="50E1FE6D" w:rsidR="00A30AB1" w:rsidRPr="002740C6" w:rsidRDefault="00A30AB1" w:rsidP="009F45A3">
    <w:pPr>
      <w:pStyle w:val="Footer"/>
      <w:jc w:val="both"/>
      <w:rPr>
        <w:rFonts w:ascii="Times New Roman" w:hAnsi="Times New Roman" w:cs="Times New Roman"/>
        <w:color w:val="275317" w:themeColor="accent6" w:themeShade="80"/>
        <w:sz w:val="16"/>
        <w:szCs w:val="16"/>
      </w:rPr>
    </w:pPr>
    <w:r w:rsidRPr="002740C6">
      <w:rPr>
        <w:rFonts w:ascii="Times New Roman" w:hAnsi="Times New Roman" w:cs="Times New Roman"/>
        <w:color w:val="275317" w:themeColor="accent6" w:themeShade="80"/>
        <w:sz w:val="16"/>
        <w:szCs w:val="16"/>
      </w:rPr>
      <w:t>© 202</w:t>
    </w:r>
    <w:r w:rsidR="00BE1FEA">
      <w:rPr>
        <w:rFonts w:ascii="Times New Roman" w:hAnsi="Times New Roman" w:cs="Times New Roman"/>
        <w:color w:val="275317" w:themeColor="accent6" w:themeShade="80"/>
        <w:sz w:val="16"/>
        <w:szCs w:val="16"/>
      </w:rPr>
      <w:t>5</w:t>
    </w:r>
    <w:r w:rsidRPr="002740C6">
      <w:rPr>
        <w:rFonts w:ascii="Times New Roman" w:hAnsi="Times New Roman" w:cs="Times New Roman"/>
        <w:color w:val="275317" w:themeColor="accent6" w:themeShade="80"/>
        <w:sz w:val="16"/>
        <w:szCs w:val="16"/>
      </w:rPr>
      <w:t xml:space="preserve"> et al. Open access under CC BY License (Creative Commons). Freely distributable with appropriate citation.</w:t>
    </w:r>
    <w:r w:rsidRPr="002740C6">
      <w:rPr>
        <w:rFonts w:ascii="Times New Roman" w:hAnsi="Times New Roman" w:cs="Times New Roman"/>
        <w:noProof/>
        <w:color w:val="275317" w:themeColor="accent6" w:themeShade="80"/>
        <w:sz w:val="16"/>
        <w:szCs w:val="16"/>
      </w:rPr>
      <w:t xml:space="preserve"> </w:t>
    </w:r>
    <w:r w:rsidRPr="002740C6">
      <w:rPr>
        <w:rFonts w:ascii="Times New Roman" w:hAnsi="Times New Roman" w:cs="Times New Roman"/>
        <w:noProof/>
        <w:color w:val="275317" w:themeColor="accent6" w:themeShade="80"/>
        <w:sz w:val="16"/>
        <w:szCs w:val="16"/>
      </w:rPr>
      <w:tab/>
    </w:r>
    <w:r w:rsidR="009F45A3">
      <w:rPr>
        <w:rFonts w:ascii="Times New Roman" w:hAnsi="Times New Roman" w:cs="Times New Roman"/>
        <w:noProof/>
        <w:color w:val="275317" w:themeColor="accent6" w:themeShade="80"/>
        <w:sz w:val="16"/>
        <w:szCs w:val="16"/>
      </w:rPr>
      <w:tab/>
    </w:r>
    <w:r w:rsidR="0058160E" w:rsidRPr="002740C6">
      <w:rPr>
        <w:rFonts w:ascii="Times New Roman" w:hAnsi="Times New Roman" w:cs="Times New Roman"/>
        <w:noProof/>
        <w:color w:val="275317" w:themeColor="accent6" w:themeShade="80"/>
        <w:sz w:val="16"/>
        <w:szCs w:val="16"/>
      </w:rPr>
      <w:t xml:space="preserve">       </w:t>
    </w:r>
    <w:r w:rsidR="00106E21" w:rsidRPr="002740C6">
      <w:rPr>
        <w:rFonts w:ascii="Times New Roman" w:hAnsi="Times New Roman" w:cs="Times New Roman"/>
        <w:noProof/>
        <w:color w:val="275317" w:themeColor="accent6" w:themeShade="80"/>
        <w:sz w:val="16"/>
        <w:szCs w:val="16"/>
      </w:rPr>
      <w:t xml:space="preserve">  </w:t>
    </w:r>
    <w:sdt>
      <w:sdtPr>
        <w:rPr>
          <w:rFonts w:ascii="Times New Roman" w:hAnsi="Times New Roman" w:cs="Times New Roman"/>
          <w:color w:val="275317" w:themeColor="accent6" w:themeShade="80"/>
          <w:sz w:val="16"/>
          <w:szCs w:val="16"/>
        </w:rPr>
        <w:id w:val="-64486178"/>
        <w:docPartObj>
          <w:docPartGallery w:val="Page Numbers (Bottom of Page)"/>
          <w:docPartUnique/>
        </w:docPartObj>
      </w:sdtPr>
      <w:sdtEndPr>
        <w:rPr>
          <w:noProof/>
        </w:rPr>
      </w:sdtEndPr>
      <w:sdtContent>
        <w:r w:rsidRPr="002740C6">
          <w:rPr>
            <w:rFonts w:ascii="Times New Roman" w:hAnsi="Times New Roman" w:cs="Times New Roman"/>
            <w:color w:val="275317" w:themeColor="accent6" w:themeShade="80"/>
            <w:sz w:val="16"/>
            <w:szCs w:val="16"/>
          </w:rPr>
          <w:fldChar w:fldCharType="begin"/>
        </w:r>
        <w:r w:rsidRPr="002740C6">
          <w:rPr>
            <w:rFonts w:ascii="Times New Roman" w:hAnsi="Times New Roman" w:cs="Times New Roman"/>
            <w:color w:val="275317" w:themeColor="accent6" w:themeShade="80"/>
            <w:sz w:val="16"/>
            <w:szCs w:val="16"/>
          </w:rPr>
          <w:instrText xml:space="preserve"> PAGE   \* MERGEFORMAT </w:instrText>
        </w:r>
        <w:r w:rsidRPr="002740C6">
          <w:rPr>
            <w:rFonts w:ascii="Times New Roman" w:hAnsi="Times New Roman" w:cs="Times New Roman"/>
            <w:color w:val="275317" w:themeColor="accent6" w:themeShade="80"/>
            <w:sz w:val="16"/>
            <w:szCs w:val="16"/>
          </w:rPr>
          <w:fldChar w:fldCharType="separate"/>
        </w:r>
        <w:r w:rsidRPr="002740C6">
          <w:rPr>
            <w:rFonts w:ascii="Times New Roman" w:hAnsi="Times New Roman" w:cs="Times New Roman"/>
            <w:noProof/>
            <w:color w:val="275317" w:themeColor="accent6" w:themeShade="80"/>
            <w:sz w:val="16"/>
            <w:szCs w:val="16"/>
          </w:rPr>
          <w:t>2</w:t>
        </w:r>
        <w:r w:rsidRPr="002740C6">
          <w:rPr>
            <w:rFonts w:ascii="Times New Roman" w:hAnsi="Times New Roman" w:cs="Times New Roman"/>
            <w:noProof/>
            <w:color w:val="275317" w:themeColor="accent6" w:themeShade="80"/>
            <w:sz w:val="16"/>
            <w:szCs w:val="16"/>
          </w:rPr>
          <w:fldChar w:fldCharType="end"/>
        </w:r>
      </w:sdtContent>
    </w:sdt>
  </w:p>
  <w:p w14:paraId="0151AD5C" w14:textId="3ED9FB98" w:rsidR="00A30AB1" w:rsidRDefault="00A30AB1" w:rsidP="00A30AB1">
    <w:pPr>
      <w:pStyle w:val="Footer"/>
      <w:rPr>
        <w:rFonts w:ascii="Times New Roman" w:hAnsi="Times New Roman" w:cs="Times New Roman"/>
        <w:color w:val="275317" w:themeColor="accent6" w:themeShade="80"/>
        <w:sz w:val="16"/>
        <w:szCs w:val="16"/>
      </w:rPr>
    </w:pPr>
  </w:p>
  <w:p w14:paraId="1765EBD8" w14:textId="77777777" w:rsidR="00381628" w:rsidRPr="002740C6" w:rsidRDefault="00381628" w:rsidP="00A30AB1">
    <w:pPr>
      <w:pStyle w:val="Footer"/>
      <w:rPr>
        <w:rFonts w:ascii="Times New Roman" w:hAnsi="Times New Roman" w:cs="Times New Roman"/>
        <w:color w:val="275317" w:themeColor="accent6"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644" w14:textId="77777777" w:rsidR="00660889" w:rsidRDefault="00660889" w:rsidP="004005DA">
      <w:pPr>
        <w:spacing w:after="0" w:line="240" w:lineRule="auto"/>
      </w:pPr>
      <w:r>
        <w:separator/>
      </w:r>
    </w:p>
  </w:footnote>
  <w:footnote w:type="continuationSeparator" w:id="0">
    <w:p w14:paraId="6D081B65" w14:textId="77777777" w:rsidR="00660889" w:rsidRDefault="00660889" w:rsidP="00400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175F" w14:textId="5B84106E" w:rsidR="0016742B" w:rsidRPr="00050A06" w:rsidRDefault="00B57ADE" w:rsidP="00552E77">
    <w:pPr>
      <w:pStyle w:val="Header"/>
      <w:rPr>
        <w:rFonts w:ascii="Times New Roman" w:hAnsi="Times New Roman" w:cs="Times New Roman"/>
        <w:i/>
        <w:iCs/>
        <w:color w:val="275317" w:themeColor="accent6" w:themeShade="80"/>
        <w:sz w:val="16"/>
        <w:szCs w:val="16"/>
      </w:rPr>
    </w:pPr>
    <w:r w:rsidRPr="00050A06">
      <w:rPr>
        <w:rFonts w:ascii="Times New Roman" w:hAnsi="Times New Roman" w:cs="Times New Roman"/>
        <w:b/>
        <w:bCs/>
        <w:i/>
        <w:iCs/>
        <w:noProof/>
        <w:sz w:val="32"/>
        <w:szCs w:val="32"/>
      </w:rPr>
      <w:drawing>
        <wp:anchor distT="0" distB="0" distL="114300" distR="114300" simplePos="0" relativeHeight="251661312" behindDoc="0" locked="0" layoutInCell="1" allowOverlap="1" wp14:anchorId="1342351B" wp14:editId="5FCC4183">
          <wp:simplePos x="0" y="0"/>
          <wp:positionH relativeFrom="margin">
            <wp:posOffset>5436870</wp:posOffset>
          </wp:positionH>
          <wp:positionV relativeFrom="paragraph">
            <wp:posOffset>-74442</wp:posOffset>
          </wp:positionV>
          <wp:extent cx="1421878" cy="457908"/>
          <wp:effectExtent l="0" t="0" r="6985" b="0"/>
          <wp:wrapSquare wrapText="bothSides"/>
          <wp:docPr id="942484103" name="Picture 1" descr="A logo with a pers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33365" name="Picture 1" descr="A logo with a person in the middl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5670" t="38857" r="9119" b="36910"/>
                  <a:stretch/>
                </pic:blipFill>
                <pic:spPr bwMode="auto">
                  <a:xfrm>
                    <a:off x="0" y="0"/>
                    <a:ext cx="1421878" cy="4579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0A06" w:rsidRPr="00050A06">
      <w:rPr>
        <w:rFonts w:ascii="Times New Roman" w:hAnsi="Times New Roman" w:cs="Times New Roman"/>
        <w:i/>
        <w:iCs/>
        <w:color w:val="275317" w:themeColor="accent6" w:themeShade="80"/>
        <w:sz w:val="16"/>
        <w:szCs w:val="16"/>
      </w:rPr>
      <w:t xml:space="preserve">Volume </w:t>
    </w:r>
    <w:r w:rsidR="00BE1FEA">
      <w:rPr>
        <w:rFonts w:ascii="Times New Roman" w:hAnsi="Times New Roman" w:cs="Times New Roman"/>
        <w:i/>
        <w:iCs/>
        <w:color w:val="275317" w:themeColor="accent6" w:themeShade="80"/>
        <w:sz w:val="16"/>
        <w:szCs w:val="16"/>
      </w:rPr>
      <w:t>3</w:t>
    </w:r>
    <w:r w:rsidR="00050A06" w:rsidRPr="00050A06">
      <w:rPr>
        <w:rFonts w:ascii="Times New Roman" w:hAnsi="Times New Roman" w:cs="Times New Roman"/>
        <w:i/>
        <w:iCs/>
        <w:color w:val="275317" w:themeColor="accent6" w:themeShade="80"/>
        <w:sz w:val="16"/>
        <w:szCs w:val="16"/>
      </w:rPr>
      <w:t xml:space="preserve"> Issue </w:t>
    </w:r>
    <w:r w:rsidR="00552E77">
      <w:rPr>
        <w:rFonts w:ascii="Times New Roman" w:hAnsi="Times New Roman" w:cs="Times New Roman"/>
        <w:i/>
        <w:iCs/>
        <w:color w:val="275317" w:themeColor="accent6" w:themeShade="80"/>
        <w:sz w:val="16"/>
        <w:szCs w:val="16"/>
      </w:rPr>
      <w:t>4</w:t>
    </w:r>
    <w:r w:rsidR="001B41A5">
      <w:rPr>
        <w:rFonts w:ascii="Times New Roman" w:hAnsi="Times New Roman" w:cs="Times New Roman"/>
        <w:i/>
        <w:iCs/>
        <w:color w:val="275317" w:themeColor="accent6" w:themeShade="80"/>
        <w:sz w:val="16"/>
        <w:szCs w:val="16"/>
      </w:rPr>
      <w:t xml:space="preserve">: </w:t>
    </w:r>
    <w:r w:rsidR="00552E77" w:rsidRPr="00552E77">
      <w:rPr>
        <w:rFonts w:ascii="Times New Roman" w:hAnsi="Times New Roman" w:cs="Times New Roman"/>
        <w:i/>
        <w:iCs/>
        <w:color w:val="275317" w:themeColor="accent6" w:themeShade="80"/>
        <w:sz w:val="16"/>
        <w:szCs w:val="16"/>
      </w:rPr>
      <w:t>Emerging Strategies in Gestational Diabetes Management</w:t>
    </w:r>
    <w:r w:rsidR="00552E77">
      <w:rPr>
        <w:rFonts w:ascii="Times New Roman" w:hAnsi="Times New Roman" w:cs="Times New Roman"/>
        <w:i/>
        <w:iCs/>
        <w:color w:val="275317" w:themeColor="accent6" w:themeShade="80"/>
        <w:sz w:val="16"/>
        <w:szCs w:val="16"/>
      </w:rPr>
      <w:tab/>
    </w:r>
  </w:p>
  <w:p w14:paraId="25AA19C3" w14:textId="2760FC86" w:rsidR="00DD15AF" w:rsidRPr="002740C6" w:rsidRDefault="00870A98" w:rsidP="00552E77">
    <w:pPr>
      <w:pStyle w:val="Header"/>
      <w:tabs>
        <w:tab w:val="clear" w:pos="4680"/>
        <w:tab w:val="clear" w:pos="9360"/>
        <w:tab w:val="left" w:pos="2864"/>
      </w:tabs>
      <w:rPr>
        <w:rFonts w:ascii="Times New Roman" w:hAnsi="Times New Roman" w:cs="Times New Roman"/>
        <w:color w:val="275317" w:themeColor="accent6" w:themeShade="80"/>
        <w:sz w:val="16"/>
        <w:szCs w:val="16"/>
      </w:rPr>
    </w:pPr>
    <w:r w:rsidRPr="008C1071">
      <w:rPr>
        <w:rFonts w:ascii="Times New Roman" w:hAnsi="Times New Roman" w:cs="Times New Roman"/>
        <w:b/>
        <w:bCs/>
        <w:noProof/>
        <w:sz w:val="14"/>
        <w:szCs w:val="14"/>
      </w:rPr>
      <mc:AlternateContent>
        <mc:Choice Requires="wps">
          <w:drawing>
            <wp:anchor distT="0" distB="0" distL="114300" distR="114300" simplePos="0" relativeHeight="251664384" behindDoc="0" locked="0" layoutInCell="1" allowOverlap="1" wp14:anchorId="22F13AAA" wp14:editId="20853EC6">
              <wp:simplePos x="0" y="0"/>
              <wp:positionH relativeFrom="margin">
                <wp:align>left</wp:align>
              </wp:positionH>
              <wp:positionV relativeFrom="paragraph">
                <wp:posOffset>313837</wp:posOffset>
              </wp:positionV>
              <wp:extent cx="6819900" cy="0"/>
              <wp:effectExtent l="0" t="0" r="0" b="0"/>
              <wp:wrapNone/>
              <wp:docPr id="604572936" name="Straight Connector 2"/>
              <wp:cNvGraphicFramePr/>
              <a:graphic xmlns:a="http://schemas.openxmlformats.org/drawingml/2006/main">
                <a:graphicData uri="http://schemas.microsoft.com/office/word/2010/wordprocessingShape">
                  <wps:wsp>
                    <wps:cNvCnPr/>
                    <wps:spPr>
                      <a:xfrm>
                        <a:off x="0" y="0"/>
                        <a:ext cx="6819900" cy="0"/>
                      </a:xfrm>
                      <a:prstGeom prst="line">
                        <a:avLst/>
                      </a:prstGeom>
                      <a:ln w="19050">
                        <a:solidFill>
                          <a:srgbClr val="38B6FF"/>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anchor>
          </w:drawing>
        </mc:Choice>
        <mc:Fallback>
          <w:pict>
            <v:line w14:anchorId="33095B66" id="Straight Connector 2" o:spid="_x0000_s1026" style="position:absolute;z-index:2516643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4.7pt" to="537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" strokecolor="#38b6ff" strokeweight="1.5pt">
              <v:stroke joinstyle="miter"/>
              <w10:wrap anchorx="margin"/>
            </v:line>
          </w:pict>
        </mc:Fallback>
      </mc:AlternateContent>
    </w:r>
    <w:r w:rsidR="00552E77" w:rsidRPr="00552E77">
      <w:rPr>
        <w:rFonts w:ascii="Times New Roman" w:hAnsi="Times New Roman" w:cs="Times New Roman"/>
        <w:color w:val="275317" w:themeColor="accent6" w:themeShade="80"/>
        <w:sz w:val="16"/>
        <w:szCs w:val="16"/>
      </w:rPr>
      <w:t>Ishaque I</w:t>
    </w:r>
    <w:r w:rsidR="00970C14">
      <w:rPr>
        <w:rFonts w:ascii="Times New Roman" w:hAnsi="Times New Roman" w:cs="Times New Roman"/>
        <w:color w:val="275317" w:themeColor="accent6" w:themeShade="80"/>
        <w:sz w:val="16"/>
        <w:szCs w:val="16"/>
      </w:rPr>
      <w:t xml:space="preserve"> et al.</w:t>
    </w:r>
    <w:r w:rsidR="004E4D24" w:rsidRPr="002740C6">
      <w:rPr>
        <w:rFonts w:ascii="Times New Roman" w:hAnsi="Times New Roman" w:cs="Times New Roman"/>
        <w:color w:val="275317" w:themeColor="accent6" w:themeShade="80"/>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8F4F" w14:textId="28F6AFC5" w:rsidR="001B41CF" w:rsidRPr="001B41CF" w:rsidRDefault="001B41CF" w:rsidP="001B41CF">
    <w:pPr>
      <w:jc w:val="both"/>
      <w:rPr>
        <w:rFonts w:ascii="Times New Roman" w:hAnsi="Times New Roman" w:cs="Times New Roman"/>
        <w:b/>
        <w:bCs/>
        <w:sz w:val="36"/>
        <w:szCs w:val="36"/>
      </w:rPr>
    </w:pPr>
    <w:r w:rsidRPr="001B41CF">
      <w:rPr>
        <w:rFonts w:ascii="Times New Roman" w:hAnsi="Times New Roman" w:cs="Times New Roman"/>
        <w:b/>
        <w:bCs/>
        <w:noProof/>
        <w:sz w:val="30"/>
        <w:szCs w:val="30"/>
      </w:rPr>
      <w:drawing>
        <wp:anchor distT="0" distB="0" distL="114300" distR="114300" simplePos="0" relativeHeight="251659264" behindDoc="0" locked="0" layoutInCell="1" allowOverlap="1" wp14:anchorId="7DAADC78" wp14:editId="0D32C317">
          <wp:simplePos x="0" y="0"/>
          <wp:positionH relativeFrom="margin">
            <wp:posOffset>3750310</wp:posOffset>
          </wp:positionH>
          <wp:positionV relativeFrom="paragraph">
            <wp:posOffset>-152400</wp:posOffset>
          </wp:positionV>
          <wp:extent cx="3093720" cy="996315"/>
          <wp:effectExtent l="0" t="0" r="0" b="0"/>
          <wp:wrapSquare wrapText="bothSides"/>
          <wp:docPr id="1002270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43315"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5670" t="38857" r="9119" b="36910"/>
                  <a:stretch/>
                </pic:blipFill>
                <pic:spPr bwMode="auto">
                  <a:xfrm>
                    <a:off x="0" y="0"/>
                    <a:ext cx="3093720" cy="996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41CF">
      <w:rPr>
        <w:rFonts w:ascii="Times New Roman" w:hAnsi="Times New Roman" w:cs="Times New Roman"/>
        <w:b/>
        <w:bCs/>
        <w:sz w:val="36"/>
        <w:szCs w:val="36"/>
      </w:rPr>
      <w:t xml:space="preserve">INSIGHTS-JOURNAL OF </w:t>
    </w:r>
  </w:p>
  <w:p w14:paraId="6DD1B5CA" w14:textId="66E51BAB" w:rsidR="00DD15AF" w:rsidRDefault="001B41CF" w:rsidP="001B41CF">
    <w:pPr>
      <w:jc w:val="both"/>
      <w:rPr>
        <w:rFonts w:ascii="Times New Roman" w:hAnsi="Times New Roman" w:cs="Times New Roman"/>
        <w:b/>
        <w:bCs/>
        <w:sz w:val="38"/>
        <w:szCs w:val="38"/>
      </w:rPr>
    </w:pPr>
    <w:r w:rsidRPr="001B41CF">
      <w:rPr>
        <w:rFonts w:ascii="Times New Roman" w:hAnsi="Times New Roman" w:cs="Times New Roman"/>
        <w:b/>
        <w:bCs/>
        <w:sz w:val="36"/>
        <w:szCs w:val="36"/>
      </w:rPr>
      <w:t>HEALTH AND REHABILITATION</w:t>
    </w:r>
    <w:r w:rsidRPr="001B41CF">
      <w:rPr>
        <w:rFonts w:ascii="Times New Roman" w:hAnsi="Times New Roman" w:cs="Times New Roman"/>
        <w:b/>
        <w:bCs/>
        <w:sz w:val="38"/>
        <w:szCs w:val="38"/>
      </w:rPr>
      <w:t xml:space="preserve"> </w:t>
    </w:r>
  </w:p>
  <w:p w14:paraId="7B0D20D7" w14:textId="7726491B" w:rsidR="00B27E03" w:rsidRPr="008C1071" w:rsidRDefault="00B27E03" w:rsidP="001B41CF">
    <w:pPr>
      <w:jc w:val="both"/>
      <w:rPr>
        <w:rFonts w:ascii="Times New Roman" w:hAnsi="Times New Roman" w:cs="Times New Roman"/>
        <w:b/>
        <w:bCs/>
        <w:sz w:val="14"/>
        <w:szCs w:val="14"/>
      </w:rPr>
    </w:pPr>
    <w:r w:rsidRPr="008C1071">
      <w:rPr>
        <w:rFonts w:ascii="Times New Roman" w:hAnsi="Times New Roman" w:cs="Times New Roman"/>
        <w:b/>
        <w:bCs/>
        <w:noProof/>
        <w:sz w:val="14"/>
        <w:szCs w:val="14"/>
      </w:rPr>
      <mc:AlternateContent>
        <mc:Choice Requires="wps">
          <w:drawing>
            <wp:anchor distT="0" distB="0" distL="114300" distR="114300" simplePos="0" relativeHeight="251662336" behindDoc="0" locked="0" layoutInCell="1" allowOverlap="1" wp14:anchorId="12CF91C3" wp14:editId="3F700449">
              <wp:simplePos x="0" y="0"/>
              <wp:positionH relativeFrom="margin">
                <wp:posOffset>0</wp:posOffset>
              </wp:positionH>
              <wp:positionV relativeFrom="paragraph">
                <wp:posOffset>173672</wp:posOffset>
              </wp:positionV>
              <wp:extent cx="6819900" cy="0"/>
              <wp:effectExtent l="0" t="19050" r="19050" b="19050"/>
              <wp:wrapNone/>
              <wp:docPr id="156160641" name="Straight Connector 2"/>
              <wp:cNvGraphicFramePr/>
              <a:graphic xmlns:a="http://schemas.openxmlformats.org/drawingml/2006/main">
                <a:graphicData uri="http://schemas.microsoft.com/office/word/2010/wordprocessingShape">
                  <wps:wsp>
                    <wps:cNvCnPr/>
                    <wps:spPr>
                      <a:xfrm>
                        <a:off x="0" y="0"/>
                        <a:ext cx="6819900" cy="0"/>
                      </a:xfrm>
                      <a:prstGeom prst="line">
                        <a:avLst/>
                      </a:prstGeom>
                      <a:ln w="38100">
                        <a:solidFill>
                          <a:srgbClr val="38B6FF"/>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anchor>
          </w:drawing>
        </mc:Choice>
        <mc:Fallback>
          <w:pict>
            <v:line w14:anchorId="24DA96B6" id="Straight Connector 2" o:spid="_x0000_s1026"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3.65pt" to="537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" strokecolor="#38b6ff" strokeweight="3pt">
              <v:stroke joinstyle="miter"/>
              <w10:wrap anchorx="margin"/>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0F"/>
    <w:rsid w:val="00014333"/>
    <w:rsid w:val="00020ED0"/>
    <w:rsid w:val="00026C9D"/>
    <w:rsid w:val="000274B4"/>
    <w:rsid w:val="00050A06"/>
    <w:rsid w:val="0005283F"/>
    <w:rsid w:val="00054666"/>
    <w:rsid w:val="000660FC"/>
    <w:rsid w:val="000913A0"/>
    <w:rsid w:val="0009445A"/>
    <w:rsid w:val="000A289F"/>
    <w:rsid w:val="000A4E20"/>
    <w:rsid w:val="000A742B"/>
    <w:rsid w:val="000B2D56"/>
    <w:rsid w:val="000B78B2"/>
    <w:rsid w:val="000C4CA2"/>
    <w:rsid w:val="00106905"/>
    <w:rsid w:val="00106CF8"/>
    <w:rsid w:val="00106E21"/>
    <w:rsid w:val="00106E82"/>
    <w:rsid w:val="0011670E"/>
    <w:rsid w:val="00117222"/>
    <w:rsid w:val="0013138F"/>
    <w:rsid w:val="00131AC1"/>
    <w:rsid w:val="001557BD"/>
    <w:rsid w:val="00162B73"/>
    <w:rsid w:val="0016742B"/>
    <w:rsid w:val="00187089"/>
    <w:rsid w:val="001877D7"/>
    <w:rsid w:val="00193C1F"/>
    <w:rsid w:val="001953A7"/>
    <w:rsid w:val="001A0C06"/>
    <w:rsid w:val="001A1A18"/>
    <w:rsid w:val="001A39D1"/>
    <w:rsid w:val="001B10DF"/>
    <w:rsid w:val="001B30B9"/>
    <w:rsid w:val="001B41A5"/>
    <w:rsid w:val="001B41CF"/>
    <w:rsid w:val="001B6587"/>
    <w:rsid w:val="001D15A8"/>
    <w:rsid w:val="001D7EA9"/>
    <w:rsid w:val="001E76CA"/>
    <w:rsid w:val="001F57F8"/>
    <w:rsid w:val="0022079B"/>
    <w:rsid w:val="0022540B"/>
    <w:rsid w:val="00231EE2"/>
    <w:rsid w:val="0023293D"/>
    <w:rsid w:val="00234D8D"/>
    <w:rsid w:val="002367DC"/>
    <w:rsid w:val="00241936"/>
    <w:rsid w:val="00244187"/>
    <w:rsid w:val="00253FE4"/>
    <w:rsid w:val="00255AE3"/>
    <w:rsid w:val="00270829"/>
    <w:rsid w:val="00273AB9"/>
    <w:rsid w:val="002740C6"/>
    <w:rsid w:val="0027482E"/>
    <w:rsid w:val="0029045A"/>
    <w:rsid w:val="00292473"/>
    <w:rsid w:val="002A24E4"/>
    <w:rsid w:val="002B2C45"/>
    <w:rsid w:val="002C6CE2"/>
    <w:rsid w:val="002C72C4"/>
    <w:rsid w:val="002D1F98"/>
    <w:rsid w:val="002E396B"/>
    <w:rsid w:val="002E539A"/>
    <w:rsid w:val="002F6C75"/>
    <w:rsid w:val="00302BD4"/>
    <w:rsid w:val="003104C2"/>
    <w:rsid w:val="0031761D"/>
    <w:rsid w:val="0033023B"/>
    <w:rsid w:val="00341225"/>
    <w:rsid w:val="0034167E"/>
    <w:rsid w:val="00344498"/>
    <w:rsid w:val="00347F8C"/>
    <w:rsid w:val="003512E2"/>
    <w:rsid w:val="003536BA"/>
    <w:rsid w:val="00360005"/>
    <w:rsid w:val="00363824"/>
    <w:rsid w:val="0037429F"/>
    <w:rsid w:val="0037538D"/>
    <w:rsid w:val="00375B10"/>
    <w:rsid w:val="003765AA"/>
    <w:rsid w:val="003770A9"/>
    <w:rsid w:val="00381628"/>
    <w:rsid w:val="00384886"/>
    <w:rsid w:val="00385AB3"/>
    <w:rsid w:val="00392171"/>
    <w:rsid w:val="003A3E5C"/>
    <w:rsid w:val="003A5B13"/>
    <w:rsid w:val="003B4AA7"/>
    <w:rsid w:val="003B637B"/>
    <w:rsid w:val="003D70DE"/>
    <w:rsid w:val="003E1EC8"/>
    <w:rsid w:val="003F3716"/>
    <w:rsid w:val="003F7334"/>
    <w:rsid w:val="004005DA"/>
    <w:rsid w:val="0040668F"/>
    <w:rsid w:val="00406C07"/>
    <w:rsid w:val="00412534"/>
    <w:rsid w:val="0041302F"/>
    <w:rsid w:val="00417A39"/>
    <w:rsid w:val="004207BA"/>
    <w:rsid w:val="004208B8"/>
    <w:rsid w:val="00420C71"/>
    <w:rsid w:val="004218FA"/>
    <w:rsid w:val="00424F6B"/>
    <w:rsid w:val="00425ABC"/>
    <w:rsid w:val="00431E60"/>
    <w:rsid w:val="00466969"/>
    <w:rsid w:val="00467083"/>
    <w:rsid w:val="00472F5B"/>
    <w:rsid w:val="00474D25"/>
    <w:rsid w:val="00487EB9"/>
    <w:rsid w:val="004911EF"/>
    <w:rsid w:val="00497B4B"/>
    <w:rsid w:val="004A6E51"/>
    <w:rsid w:val="004B7E70"/>
    <w:rsid w:val="004C7735"/>
    <w:rsid w:val="004D112B"/>
    <w:rsid w:val="004E15BA"/>
    <w:rsid w:val="004E1E2D"/>
    <w:rsid w:val="004E2E84"/>
    <w:rsid w:val="004E2ED7"/>
    <w:rsid w:val="004E4D24"/>
    <w:rsid w:val="004F224B"/>
    <w:rsid w:val="004F3E11"/>
    <w:rsid w:val="004F4D10"/>
    <w:rsid w:val="00500774"/>
    <w:rsid w:val="00503721"/>
    <w:rsid w:val="00503BC2"/>
    <w:rsid w:val="00516ABD"/>
    <w:rsid w:val="005271E0"/>
    <w:rsid w:val="00552E77"/>
    <w:rsid w:val="005648D0"/>
    <w:rsid w:val="00566F9A"/>
    <w:rsid w:val="005755F3"/>
    <w:rsid w:val="00577B05"/>
    <w:rsid w:val="0058160E"/>
    <w:rsid w:val="00582068"/>
    <w:rsid w:val="00591150"/>
    <w:rsid w:val="005A3A71"/>
    <w:rsid w:val="005B3BFB"/>
    <w:rsid w:val="005C10D2"/>
    <w:rsid w:val="005D08CE"/>
    <w:rsid w:val="005D1288"/>
    <w:rsid w:val="005D4484"/>
    <w:rsid w:val="006010AE"/>
    <w:rsid w:val="006179EC"/>
    <w:rsid w:val="00620127"/>
    <w:rsid w:val="00621819"/>
    <w:rsid w:val="00623E59"/>
    <w:rsid w:val="00633487"/>
    <w:rsid w:val="00636D2D"/>
    <w:rsid w:val="00637C44"/>
    <w:rsid w:val="00643141"/>
    <w:rsid w:val="0065245D"/>
    <w:rsid w:val="00654F10"/>
    <w:rsid w:val="00660889"/>
    <w:rsid w:val="0066337B"/>
    <w:rsid w:val="006679D7"/>
    <w:rsid w:val="00667E01"/>
    <w:rsid w:val="0067488A"/>
    <w:rsid w:val="00681FD5"/>
    <w:rsid w:val="0068337A"/>
    <w:rsid w:val="006851C9"/>
    <w:rsid w:val="006B0F4C"/>
    <w:rsid w:val="006B683A"/>
    <w:rsid w:val="006C4344"/>
    <w:rsid w:val="006D5D7B"/>
    <w:rsid w:val="006E1AE0"/>
    <w:rsid w:val="006E2745"/>
    <w:rsid w:val="006E7C48"/>
    <w:rsid w:val="0070017F"/>
    <w:rsid w:val="00706981"/>
    <w:rsid w:val="00707324"/>
    <w:rsid w:val="00710077"/>
    <w:rsid w:val="007217A4"/>
    <w:rsid w:val="00721918"/>
    <w:rsid w:val="0072711A"/>
    <w:rsid w:val="0074732A"/>
    <w:rsid w:val="0075707A"/>
    <w:rsid w:val="00762C93"/>
    <w:rsid w:val="00764765"/>
    <w:rsid w:val="0076726F"/>
    <w:rsid w:val="007713C9"/>
    <w:rsid w:val="00773C24"/>
    <w:rsid w:val="00774770"/>
    <w:rsid w:val="00784F03"/>
    <w:rsid w:val="007A2FE4"/>
    <w:rsid w:val="007A3F31"/>
    <w:rsid w:val="007B0BEC"/>
    <w:rsid w:val="007C5DF5"/>
    <w:rsid w:val="007D1802"/>
    <w:rsid w:val="007D3651"/>
    <w:rsid w:val="007E4C0A"/>
    <w:rsid w:val="007F572C"/>
    <w:rsid w:val="0080604F"/>
    <w:rsid w:val="0081086D"/>
    <w:rsid w:val="008208B0"/>
    <w:rsid w:val="0082336F"/>
    <w:rsid w:val="008515DF"/>
    <w:rsid w:val="008542EF"/>
    <w:rsid w:val="0085797A"/>
    <w:rsid w:val="00870A8B"/>
    <w:rsid w:val="00870A98"/>
    <w:rsid w:val="00870ADB"/>
    <w:rsid w:val="008825A6"/>
    <w:rsid w:val="00882611"/>
    <w:rsid w:val="00882E68"/>
    <w:rsid w:val="0088661A"/>
    <w:rsid w:val="0089659F"/>
    <w:rsid w:val="008A178C"/>
    <w:rsid w:val="008A7DE4"/>
    <w:rsid w:val="008C1071"/>
    <w:rsid w:val="008C124A"/>
    <w:rsid w:val="008C4970"/>
    <w:rsid w:val="008D7A4B"/>
    <w:rsid w:val="008F294C"/>
    <w:rsid w:val="008F3387"/>
    <w:rsid w:val="008F6483"/>
    <w:rsid w:val="009009C6"/>
    <w:rsid w:val="00904014"/>
    <w:rsid w:val="009127B0"/>
    <w:rsid w:val="009158C3"/>
    <w:rsid w:val="00917BFE"/>
    <w:rsid w:val="00922794"/>
    <w:rsid w:val="00922A8E"/>
    <w:rsid w:val="0092688B"/>
    <w:rsid w:val="00933B0F"/>
    <w:rsid w:val="0095410F"/>
    <w:rsid w:val="00970C14"/>
    <w:rsid w:val="009831E2"/>
    <w:rsid w:val="00984E46"/>
    <w:rsid w:val="00991320"/>
    <w:rsid w:val="00991880"/>
    <w:rsid w:val="0099727A"/>
    <w:rsid w:val="009A0B47"/>
    <w:rsid w:val="009A0D90"/>
    <w:rsid w:val="009A49AB"/>
    <w:rsid w:val="009B68B9"/>
    <w:rsid w:val="009C5181"/>
    <w:rsid w:val="009D6AFE"/>
    <w:rsid w:val="009D755A"/>
    <w:rsid w:val="009D7C69"/>
    <w:rsid w:val="009F45A3"/>
    <w:rsid w:val="009F47C3"/>
    <w:rsid w:val="009F4B16"/>
    <w:rsid w:val="00A16E2F"/>
    <w:rsid w:val="00A171AE"/>
    <w:rsid w:val="00A214D4"/>
    <w:rsid w:val="00A27AC2"/>
    <w:rsid w:val="00A30AB1"/>
    <w:rsid w:val="00A32407"/>
    <w:rsid w:val="00A37332"/>
    <w:rsid w:val="00A47027"/>
    <w:rsid w:val="00A55D05"/>
    <w:rsid w:val="00A640A6"/>
    <w:rsid w:val="00A65C9E"/>
    <w:rsid w:val="00A77ACA"/>
    <w:rsid w:val="00A843C0"/>
    <w:rsid w:val="00A8460E"/>
    <w:rsid w:val="00AA5673"/>
    <w:rsid w:val="00AA5800"/>
    <w:rsid w:val="00AA65E5"/>
    <w:rsid w:val="00AB015B"/>
    <w:rsid w:val="00AB07A8"/>
    <w:rsid w:val="00AB32A1"/>
    <w:rsid w:val="00AC29C5"/>
    <w:rsid w:val="00AD0380"/>
    <w:rsid w:val="00AD6B2F"/>
    <w:rsid w:val="00AF6A85"/>
    <w:rsid w:val="00B077B4"/>
    <w:rsid w:val="00B1352B"/>
    <w:rsid w:val="00B27E03"/>
    <w:rsid w:val="00B45D33"/>
    <w:rsid w:val="00B4661B"/>
    <w:rsid w:val="00B470E8"/>
    <w:rsid w:val="00B57ADE"/>
    <w:rsid w:val="00B612FC"/>
    <w:rsid w:val="00B61DA7"/>
    <w:rsid w:val="00B61F47"/>
    <w:rsid w:val="00B66A40"/>
    <w:rsid w:val="00B7714E"/>
    <w:rsid w:val="00B90B56"/>
    <w:rsid w:val="00B935B1"/>
    <w:rsid w:val="00B93C17"/>
    <w:rsid w:val="00B9449E"/>
    <w:rsid w:val="00BA4BC6"/>
    <w:rsid w:val="00BA5170"/>
    <w:rsid w:val="00BA6EAD"/>
    <w:rsid w:val="00BB1C80"/>
    <w:rsid w:val="00BB5D08"/>
    <w:rsid w:val="00BC4211"/>
    <w:rsid w:val="00BD0FFB"/>
    <w:rsid w:val="00BD5AD9"/>
    <w:rsid w:val="00BD7D75"/>
    <w:rsid w:val="00BE1FEA"/>
    <w:rsid w:val="00BE4F7D"/>
    <w:rsid w:val="00BF0079"/>
    <w:rsid w:val="00C02293"/>
    <w:rsid w:val="00C02B95"/>
    <w:rsid w:val="00C054BB"/>
    <w:rsid w:val="00C07DAC"/>
    <w:rsid w:val="00C12FD3"/>
    <w:rsid w:val="00C1702C"/>
    <w:rsid w:val="00C52575"/>
    <w:rsid w:val="00C56374"/>
    <w:rsid w:val="00C63891"/>
    <w:rsid w:val="00C72DA0"/>
    <w:rsid w:val="00C81E8D"/>
    <w:rsid w:val="00C84AE9"/>
    <w:rsid w:val="00C8719C"/>
    <w:rsid w:val="00C87272"/>
    <w:rsid w:val="00CA1CE8"/>
    <w:rsid w:val="00CB0AC4"/>
    <w:rsid w:val="00CB1521"/>
    <w:rsid w:val="00CB5579"/>
    <w:rsid w:val="00CB6ACC"/>
    <w:rsid w:val="00CC0111"/>
    <w:rsid w:val="00CC2A43"/>
    <w:rsid w:val="00CC470A"/>
    <w:rsid w:val="00CD1A23"/>
    <w:rsid w:val="00CD5AA0"/>
    <w:rsid w:val="00CD7382"/>
    <w:rsid w:val="00CE1BCC"/>
    <w:rsid w:val="00CE39D4"/>
    <w:rsid w:val="00CF2C7D"/>
    <w:rsid w:val="00D20BC2"/>
    <w:rsid w:val="00D34DB8"/>
    <w:rsid w:val="00D3599E"/>
    <w:rsid w:val="00D44947"/>
    <w:rsid w:val="00D46D5E"/>
    <w:rsid w:val="00D54708"/>
    <w:rsid w:val="00D65B3B"/>
    <w:rsid w:val="00D76FC5"/>
    <w:rsid w:val="00D84308"/>
    <w:rsid w:val="00D977A9"/>
    <w:rsid w:val="00DA6613"/>
    <w:rsid w:val="00DB014B"/>
    <w:rsid w:val="00DB4267"/>
    <w:rsid w:val="00DC61B3"/>
    <w:rsid w:val="00DD15AF"/>
    <w:rsid w:val="00DD2816"/>
    <w:rsid w:val="00DD2913"/>
    <w:rsid w:val="00DD52C4"/>
    <w:rsid w:val="00DD5F82"/>
    <w:rsid w:val="00DE0659"/>
    <w:rsid w:val="00DE3385"/>
    <w:rsid w:val="00E10B55"/>
    <w:rsid w:val="00E124D2"/>
    <w:rsid w:val="00E2146D"/>
    <w:rsid w:val="00E26211"/>
    <w:rsid w:val="00E30D98"/>
    <w:rsid w:val="00E36687"/>
    <w:rsid w:val="00E4446E"/>
    <w:rsid w:val="00E61812"/>
    <w:rsid w:val="00E719C9"/>
    <w:rsid w:val="00E747BD"/>
    <w:rsid w:val="00E77C60"/>
    <w:rsid w:val="00E808E1"/>
    <w:rsid w:val="00E83FCC"/>
    <w:rsid w:val="00E84D8D"/>
    <w:rsid w:val="00E9157E"/>
    <w:rsid w:val="00E9747D"/>
    <w:rsid w:val="00E97EA9"/>
    <w:rsid w:val="00EB0A73"/>
    <w:rsid w:val="00EB2EAB"/>
    <w:rsid w:val="00EC0EFD"/>
    <w:rsid w:val="00EC3B4E"/>
    <w:rsid w:val="00EE0B16"/>
    <w:rsid w:val="00EE3BF8"/>
    <w:rsid w:val="00EE46AF"/>
    <w:rsid w:val="00EE6C22"/>
    <w:rsid w:val="00EF2322"/>
    <w:rsid w:val="00EF4172"/>
    <w:rsid w:val="00EF6CB1"/>
    <w:rsid w:val="00F0370E"/>
    <w:rsid w:val="00F056CB"/>
    <w:rsid w:val="00F1066C"/>
    <w:rsid w:val="00F1561C"/>
    <w:rsid w:val="00F23A3C"/>
    <w:rsid w:val="00F24E8C"/>
    <w:rsid w:val="00F270CF"/>
    <w:rsid w:val="00F349E4"/>
    <w:rsid w:val="00F47401"/>
    <w:rsid w:val="00F53FC8"/>
    <w:rsid w:val="00F55205"/>
    <w:rsid w:val="00F64AEC"/>
    <w:rsid w:val="00F70310"/>
    <w:rsid w:val="00F80642"/>
    <w:rsid w:val="00F807B5"/>
    <w:rsid w:val="00F83AD6"/>
    <w:rsid w:val="00F90F7E"/>
    <w:rsid w:val="00F96D85"/>
    <w:rsid w:val="00FA45A8"/>
    <w:rsid w:val="00FA5345"/>
    <w:rsid w:val="00FA54B2"/>
    <w:rsid w:val="00FB0498"/>
    <w:rsid w:val="00FB397B"/>
    <w:rsid w:val="00FC1F42"/>
    <w:rsid w:val="00FC30C6"/>
    <w:rsid w:val="00FD04DF"/>
    <w:rsid w:val="00FD5CA7"/>
    <w:rsid w:val="00FE5048"/>
    <w:rsid w:val="00FE660E"/>
    <w:rsid w:val="00FF2F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9184D"/>
  <w15:chartTrackingRefBased/>
  <w15:docId w15:val="{7E74D0E3-F5BC-4819-BFC8-26872E92F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0F"/>
    <w:pPr>
      <w:spacing w:line="259" w:lineRule="auto"/>
    </w:pPr>
    <w:rPr>
      <w:sz w:val="22"/>
      <w:szCs w:val="22"/>
      <w:lang w:val="en-GB"/>
    </w:rPr>
  </w:style>
  <w:style w:type="paragraph" w:styleId="Heading1">
    <w:name w:val="heading 1"/>
    <w:basedOn w:val="Normal"/>
    <w:next w:val="Normal"/>
    <w:link w:val="Heading1Char"/>
    <w:uiPriority w:val="9"/>
    <w:qFormat/>
    <w:rsid w:val="0095410F"/>
    <w:pPr>
      <w:keepNext/>
      <w:keepLines/>
      <w:spacing w:before="360" w:after="80" w:line="360" w:lineRule="auto"/>
      <w:outlineLvl w:val="0"/>
    </w:pPr>
    <w:rPr>
      <w:rFonts w:ascii="Times New Roman" w:eastAsiaTheme="majorEastAsia" w:hAnsi="Times New Roman" w:cstheme="majorBidi"/>
      <w:b/>
      <w:caps/>
      <w:sz w:val="24"/>
      <w:szCs w:val="40"/>
      <w:lang w:val="en-US"/>
    </w:rPr>
  </w:style>
  <w:style w:type="paragraph" w:styleId="Heading2">
    <w:name w:val="heading 2"/>
    <w:basedOn w:val="Normal"/>
    <w:next w:val="Normal"/>
    <w:link w:val="Heading2Char"/>
    <w:uiPriority w:val="9"/>
    <w:semiHidden/>
    <w:unhideWhenUsed/>
    <w:qFormat/>
    <w:rsid w:val="00954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10F"/>
    <w:rPr>
      <w:rFonts w:ascii="Times New Roman" w:eastAsiaTheme="majorEastAsia" w:hAnsi="Times New Roman" w:cstheme="majorBidi"/>
      <w:b/>
      <w:caps/>
      <w:szCs w:val="40"/>
    </w:rPr>
  </w:style>
  <w:style w:type="character" w:customStyle="1" w:styleId="Heading2Char">
    <w:name w:val="Heading 2 Char"/>
    <w:basedOn w:val="DefaultParagraphFont"/>
    <w:link w:val="Heading2"/>
    <w:uiPriority w:val="9"/>
    <w:semiHidden/>
    <w:rsid w:val="00954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10F"/>
    <w:rPr>
      <w:rFonts w:eastAsiaTheme="majorEastAsia" w:cstheme="majorBidi"/>
      <w:color w:val="272727" w:themeColor="text1" w:themeTint="D8"/>
    </w:rPr>
  </w:style>
  <w:style w:type="paragraph" w:styleId="Title">
    <w:name w:val="Title"/>
    <w:basedOn w:val="Normal"/>
    <w:next w:val="Normal"/>
    <w:link w:val="TitleChar"/>
    <w:uiPriority w:val="10"/>
    <w:qFormat/>
    <w:rsid w:val="00954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10F"/>
    <w:pPr>
      <w:spacing w:before="160"/>
      <w:jc w:val="center"/>
    </w:pPr>
    <w:rPr>
      <w:i/>
      <w:iCs/>
      <w:color w:val="404040" w:themeColor="text1" w:themeTint="BF"/>
    </w:rPr>
  </w:style>
  <w:style w:type="character" w:customStyle="1" w:styleId="QuoteChar">
    <w:name w:val="Quote Char"/>
    <w:basedOn w:val="DefaultParagraphFont"/>
    <w:link w:val="Quote"/>
    <w:uiPriority w:val="29"/>
    <w:rsid w:val="0095410F"/>
    <w:rPr>
      <w:i/>
      <w:iCs/>
      <w:color w:val="404040" w:themeColor="text1" w:themeTint="BF"/>
    </w:rPr>
  </w:style>
  <w:style w:type="paragraph" w:styleId="ListParagraph">
    <w:name w:val="List Paragraph"/>
    <w:basedOn w:val="Normal"/>
    <w:uiPriority w:val="34"/>
    <w:qFormat/>
    <w:rsid w:val="0095410F"/>
    <w:pPr>
      <w:ind w:left="720"/>
      <w:contextualSpacing/>
    </w:pPr>
  </w:style>
  <w:style w:type="character" w:styleId="IntenseEmphasis">
    <w:name w:val="Intense Emphasis"/>
    <w:basedOn w:val="DefaultParagraphFont"/>
    <w:uiPriority w:val="21"/>
    <w:qFormat/>
    <w:rsid w:val="0095410F"/>
    <w:rPr>
      <w:i/>
      <w:iCs/>
      <w:color w:val="0F4761" w:themeColor="accent1" w:themeShade="BF"/>
    </w:rPr>
  </w:style>
  <w:style w:type="paragraph" w:styleId="IntenseQuote">
    <w:name w:val="Intense Quote"/>
    <w:basedOn w:val="Normal"/>
    <w:next w:val="Normal"/>
    <w:link w:val="IntenseQuoteChar"/>
    <w:uiPriority w:val="30"/>
    <w:qFormat/>
    <w:rsid w:val="00954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10F"/>
    <w:rPr>
      <w:i/>
      <w:iCs/>
      <w:color w:val="0F4761" w:themeColor="accent1" w:themeShade="BF"/>
    </w:rPr>
  </w:style>
  <w:style w:type="character" w:styleId="IntenseReference">
    <w:name w:val="Intense Reference"/>
    <w:basedOn w:val="DefaultParagraphFont"/>
    <w:uiPriority w:val="32"/>
    <w:qFormat/>
    <w:rsid w:val="0095410F"/>
    <w:rPr>
      <w:b/>
      <w:bCs/>
      <w:smallCaps/>
      <w:color w:val="0F4761" w:themeColor="accent1" w:themeShade="BF"/>
      <w:spacing w:val="5"/>
    </w:rPr>
  </w:style>
  <w:style w:type="paragraph" w:styleId="NoSpacing">
    <w:name w:val="No Spacing"/>
    <w:link w:val="NoSpacingChar"/>
    <w:uiPriority w:val="1"/>
    <w:qFormat/>
    <w:rsid w:val="0095410F"/>
    <w:pPr>
      <w:spacing w:after="0" w:line="240" w:lineRule="auto"/>
    </w:pPr>
    <w:rPr>
      <w:sz w:val="22"/>
      <w:szCs w:val="22"/>
      <w:lang w:val="en-GB"/>
    </w:rPr>
  </w:style>
  <w:style w:type="character" w:customStyle="1" w:styleId="NoSpacingChar">
    <w:name w:val="No Spacing Char"/>
    <w:basedOn w:val="DefaultParagraphFont"/>
    <w:link w:val="NoSpacing"/>
    <w:uiPriority w:val="1"/>
    <w:rsid w:val="0095410F"/>
    <w:rPr>
      <w:sz w:val="22"/>
      <w:szCs w:val="22"/>
      <w:lang w:val="en-GB"/>
    </w:rPr>
  </w:style>
  <w:style w:type="table" w:styleId="TableGrid">
    <w:name w:val="Table Grid"/>
    <w:basedOn w:val="TableNormal"/>
    <w:uiPriority w:val="39"/>
    <w:rsid w:val="0095410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0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5DA"/>
    <w:rPr>
      <w:sz w:val="22"/>
      <w:szCs w:val="22"/>
      <w:lang w:val="en-GB"/>
    </w:rPr>
  </w:style>
  <w:style w:type="paragraph" w:styleId="Footer">
    <w:name w:val="footer"/>
    <w:basedOn w:val="Normal"/>
    <w:link w:val="FooterChar"/>
    <w:uiPriority w:val="99"/>
    <w:unhideWhenUsed/>
    <w:rsid w:val="00400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5DA"/>
    <w:rPr>
      <w:sz w:val="22"/>
      <w:szCs w:val="22"/>
      <w:lang w:val="en-GB"/>
    </w:rPr>
  </w:style>
  <w:style w:type="character" w:styleId="Hyperlink">
    <w:name w:val="Hyperlink"/>
    <w:basedOn w:val="DefaultParagraphFont"/>
    <w:uiPriority w:val="99"/>
    <w:unhideWhenUsed/>
    <w:rsid w:val="005C10D2"/>
    <w:rPr>
      <w:color w:val="467886" w:themeColor="hyperlink"/>
      <w:u w:val="single"/>
    </w:rPr>
  </w:style>
  <w:style w:type="character" w:styleId="UnresolvedMention">
    <w:name w:val="Unresolved Mention"/>
    <w:basedOn w:val="DefaultParagraphFont"/>
    <w:uiPriority w:val="99"/>
    <w:semiHidden/>
    <w:unhideWhenUsed/>
    <w:rsid w:val="005C10D2"/>
    <w:rPr>
      <w:color w:val="605E5C"/>
      <w:shd w:val="clear" w:color="auto" w:fill="E1DFDD"/>
    </w:rPr>
  </w:style>
  <w:style w:type="paragraph" w:styleId="Caption">
    <w:name w:val="caption"/>
    <w:basedOn w:val="Normal"/>
    <w:next w:val="Normal"/>
    <w:uiPriority w:val="35"/>
    <w:unhideWhenUsed/>
    <w:qFormat/>
    <w:rsid w:val="00C1702C"/>
    <w:pPr>
      <w:spacing w:after="200" w:line="240" w:lineRule="auto"/>
    </w:pPr>
    <w:rPr>
      <w:rFonts w:ascii="Times New Roman" w:hAnsi="Times New Roman"/>
      <w:i/>
      <w:iCs/>
      <w:color w:val="0E2841" w:themeColor="text2"/>
      <w:sz w:val="18"/>
      <w:szCs w:val="18"/>
      <w:lang w:val="en-US"/>
    </w:rPr>
  </w:style>
  <w:style w:type="table" w:customStyle="1" w:styleId="11111111111111111">
    <w:name w:val="11111111111111111"/>
    <w:basedOn w:val="TableNormal"/>
    <w:uiPriority w:val="99"/>
    <w:rsid w:val="00B61F47"/>
    <w:pPr>
      <w:spacing w:after="0" w:line="240" w:lineRule="auto"/>
    </w:pPr>
    <w:tblPr/>
  </w:style>
  <w:style w:type="table" w:styleId="GridTable1Light">
    <w:name w:val="Grid Table 1 Light"/>
    <w:basedOn w:val="TableNormal"/>
    <w:uiPriority w:val="46"/>
    <w:rsid w:val="00020ED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05283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amirfanishaque@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B6BA4-77F4-4410-8EC5-AD1572A41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4550</Words>
  <Characters>25939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Ahmad_Gamer _Minecraft</dc:creator>
  <cp:keywords/>
  <dc:description/>
  <cp:lastModifiedBy>Ahmad Gamer</cp:lastModifiedBy>
  <cp:revision>6</cp:revision>
  <cp:lastPrinted>2024-10-07T17:25:00Z</cp:lastPrinted>
  <dcterms:created xsi:type="dcterms:W3CDTF">2025-01-06T00:24:00Z</dcterms:created>
  <dcterms:modified xsi:type="dcterms:W3CDTF">2026-09-14T23:06:00Z</dcterms:modified>
</cp:coreProperties>
</file>